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3B3094" w:rsidP="00B645B7" w14:paraId="5E617CD2" w14:textId="13F762B6">
      <w:pPr>
        <w:pStyle w:val="Header"/>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rsidR="00BF1536" w:rsidP="00223F4C" w14:paraId="04744E5B" w14:textId="48559EB3">
      <w:pPr>
        <w:pStyle w:val="Header"/>
        <w:tabs>
          <w:tab w:val="left" w:pos="720"/>
        </w:tabs>
        <w:spacing w:before="200"/>
        <w:rPr>
          <w:rFonts w:ascii="Times New Roman" w:hAnsi="Times New Roman"/>
          <w:sz w:val="24"/>
          <w:szCs w:val="24"/>
          <w:lang w:val="lv-LV"/>
        </w:rPr>
      </w:pPr>
      <w:r>
        <w:rPr>
          <w:rFonts w:ascii="Times New Roman" w:hAnsi="Times New Roman"/>
          <w:noProof/>
          <w:sz w:val="24"/>
          <w:szCs w:val="24"/>
          <w:lang w:val="lv-LV"/>
        </w:rPr>
        <w:t>27.11.2023</w:t>
      </w:r>
      <w:r w:rsidR="00223F4C">
        <w:rPr>
          <w:rFonts w:ascii="Times New Roman" w:hAnsi="Times New Roman"/>
          <w:sz w:val="24"/>
          <w:szCs w:val="24"/>
          <w:lang w:val="lv-LV"/>
        </w:rPr>
        <w:tab/>
      </w:r>
    </w:p>
    <w:p w:rsidR="00842C4F" w:rsidRPr="00B55C78" w:rsidP="00B55C78" w14:paraId="1492917F" w14:textId="4D9001CC">
      <w:pPr>
        <w:pStyle w:val="Header"/>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Pr="00B55C78" w:rsidR="00BF0050">
        <w:rPr>
          <w:rFonts w:ascii="Times New Roman" w:hAnsi="Times New Roman"/>
          <w:b/>
          <w:bCs/>
          <w:sz w:val="28"/>
          <w:szCs w:val="28"/>
          <w:lang w:val="lv-LV"/>
        </w:rPr>
        <w:t>Nr.</w:t>
      </w:r>
      <w:r w:rsidRPr="00B55C78" w:rsidR="004F26E0">
        <w:rPr>
          <w:rFonts w:ascii="Times New Roman" w:hAnsi="Times New Roman"/>
          <w:b/>
          <w:bCs/>
          <w:sz w:val="28"/>
          <w:szCs w:val="28"/>
          <w:lang w:val="lv-LV"/>
        </w:rPr>
        <w:t xml:space="preserve"> </w:t>
      </w:r>
      <w:r w:rsidRPr="00B55C78" w:rsidR="00223F4C">
        <w:rPr>
          <w:rFonts w:ascii="Times New Roman" w:hAnsi="Times New Roman"/>
          <w:b/>
          <w:bCs/>
          <w:noProof/>
          <w:sz w:val="28"/>
          <w:szCs w:val="28"/>
          <w:lang w:val="lv-LV"/>
        </w:rPr>
        <w:t>5-02-1/31</w:t>
      </w:r>
      <w:r w:rsidR="0098179F">
        <w:rPr>
          <w:rFonts w:ascii="Times New Roman" w:hAnsi="Times New Roman"/>
          <w:b/>
          <w:bCs/>
          <w:sz w:val="28"/>
          <w:szCs w:val="28"/>
          <w:lang w:val="lv-LV"/>
        </w:rPr>
        <w:t>/202</w:t>
      </w:r>
      <w:r w:rsidR="00E12C09">
        <w:rPr>
          <w:rFonts w:ascii="Times New Roman" w:hAnsi="Times New Roman"/>
          <w:b/>
          <w:bCs/>
          <w:sz w:val="28"/>
          <w:szCs w:val="28"/>
          <w:lang w:val="lv-LV"/>
        </w:rPr>
        <w:t>3</w:t>
      </w:r>
    </w:p>
    <w:p w:rsidR="00351A06" w:rsidRPr="0012377D" w:rsidP="00351A06" w14:paraId="488B53D5" w14:textId="77777777">
      <w:pPr>
        <w:pStyle w:val="Header"/>
        <w:tabs>
          <w:tab w:val="clear" w:pos="4320"/>
          <w:tab w:val="clear" w:pos="8640"/>
        </w:tabs>
        <w:ind w:firstLine="720"/>
        <w:jc w:val="center"/>
        <w:rPr>
          <w:rFonts w:ascii="Times New Roman" w:eastAsia="Times New Roman" w:hAnsi="Times New Roman"/>
          <w:b/>
          <w:sz w:val="24"/>
          <w:szCs w:val="24"/>
          <w:lang w:val="lv-LV"/>
        </w:rPr>
      </w:pPr>
      <w:bookmarkStart w:id="0" w:name="_Hlk109759113"/>
      <w:r w:rsidRPr="0012377D">
        <w:rPr>
          <w:rFonts w:ascii="Times New Roman" w:eastAsia="Times New Roman" w:hAnsi="Times New Roman"/>
          <w:b/>
          <w:sz w:val="24"/>
          <w:szCs w:val="24"/>
          <w:lang w:val="lv-LV"/>
        </w:rPr>
        <w:t xml:space="preserve">par grozījumiem </w:t>
      </w:r>
      <w:r w:rsidRPr="002E4FB0">
        <w:rPr>
          <w:rFonts w:ascii="Times New Roman" w:eastAsia="Times New Roman" w:hAnsi="Times New Roman"/>
          <w:b/>
          <w:bCs/>
          <w:sz w:val="24"/>
          <w:szCs w:val="24"/>
          <w:lang w:val="lv-LV"/>
        </w:rPr>
        <w:t xml:space="preserve">2021. gada 4. janvāra Lēmumā Nr. 5-02/1 </w:t>
      </w:r>
      <w:r w:rsidRPr="002E4FB0">
        <w:rPr>
          <w:rFonts w:ascii="Times New Roman" w:eastAsia="Times New Roman" w:hAnsi="Times New Roman"/>
          <w:b/>
          <w:bCs/>
          <w:i/>
          <w:iCs/>
          <w:sz w:val="24"/>
          <w:szCs w:val="24"/>
          <w:lang w:val="lv-LV"/>
        </w:rPr>
        <w:t>“par ietekmes uz vidi novērtējuma procedūras piemērošanu”</w:t>
      </w:r>
      <w:r w:rsidRPr="0012377D">
        <w:rPr>
          <w:rFonts w:ascii="Times New Roman" w:eastAsia="Times New Roman" w:hAnsi="Times New Roman"/>
          <w:b/>
          <w:bCs/>
          <w:i/>
          <w:iCs/>
          <w:sz w:val="24"/>
          <w:szCs w:val="24"/>
          <w:lang w:val="lv-LV"/>
        </w:rPr>
        <w:t xml:space="preserve"> </w:t>
      </w:r>
      <w:r w:rsidRPr="0012377D">
        <w:rPr>
          <w:rFonts w:ascii="Times New Roman" w:eastAsia="Times New Roman" w:hAnsi="Times New Roman"/>
          <w:b/>
          <w:bCs/>
          <w:sz w:val="24"/>
          <w:szCs w:val="24"/>
          <w:lang w:val="lv-LV"/>
        </w:rPr>
        <w:t>un sabiedrības informēšanas pasākumiem</w:t>
      </w:r>
    </w:p>
    <w:bookmarkEnd w:id="0"/>
    <w:p w:rsidR="00351A06" w:rsidRPr="0012377D" w:rsidP="00351A06" w14:paraId="241BDCEF" w14:textId="77777777">
      <w:pPr>
        <w:widowControl/>
        <w:spacing w:before="120" w:after="120" w:line="240" w:lineRule="auto"/>
        <w:jc w:val="both"/>
        <w:rPr>
          <w:rFonts w:ascii="Times New Roman" w:eastAsia="Times New Roman" w:hAnsi="Times New Roman"/>
          <w:b/>
          <w:bCs/>
          <w:sz w:val="24"/>
          <w:szCs w:val="24"/>
          <w:lang w:val="lv-LV" w:eastAsia="lv-LV"/>
        </w:rPr>
      </w:pPr>
    </w:p>
    <w:p w:rsidR="00351A06" w:rsidRPr="0012377D" w:rsidP="00351A06" w14:paraId="5BF78C66" w14:textId="470A5EBF">
      <w:pPr>
        <w:widowControl/>
        <w:spacing w:before="240" w:after="240" w:line="240" w:lineRule="auto"/>
        <w:jc w:val="both"/>
        <w:rPr>
          <w:rFonts w:ascii="Times New Roman" w:eastAsia="Times New Roman" w:hAnsi="Times New Roman"/>
          <w:sz w:val="24"/>
          <w:szCs w:val="24"/>
          <w:lang w:val="lv-LV" w:eastAsia="lv-LV"/>
        </w:rPr>
      </w:pPr>
      <w:r w:rsidRPr="0012377D">
        <w:rPr>
          <w:rFonts w:ascii="Times New Roman" w:eastAsia="Times New Roman" w:hAnsi="Times New Roman"/>
          <w:b/>
          <w:bCs/>
          <w:sz w:val="24"/>
          <w:szCs w:val="24"/>
          <w:lang w:val="lv-LV" w:eastAsia="lv-LV"/>
        </w:rPr>
        <w:t>Adresāts:</w:t>
      </w:r>
      <w:r w:rsidRPr="0012377D">
        <w:rPr>
          <w:rFonts w:ascii="Times New Roman" w:eastAsia="Times New Roman" w:hAnsi="Times New Roman"/>
          <w:sz w:val="24"/>
          <w:szCs w:val="24"/>
          <w:lang w:val="lv-LV" w:eastAsia="lv-LV"/>
        </w:rPr>
        <w:t xml:space="preserve"> </w:t>
      </w:r>
      <w:r w:rsidRPr="0012377D">
        <w:rPr>
          <w:rFonts w:ascii="Times New Roman" w:hAnsi="Times New Roman"/>
          <w:sz w:val="24"/>
          <w:szCs w:val="24"/>
          <w:shd w:val="clear" w:color="auto" w:fill="FFFFFF"/>
          <w:lang w:val="lv-LV"/>
        </w:rPr>
        <w:t>Akciju sabiedrība </w:t>
      </w:r>
      <w:r w:rsidRPr="0012377D">
        <w:rPr>
          <w:rFonts w:ascii="Times New Roman" w:hAnsi="Times New Roman"/>
          <w:i/>
          <w:iCs/>
          <w:sz w:val="24"/>
          <w:szCs w:val="24"/>
          <w:shd w:val="clear" w:color="auto" w:fill="FFFFFF"/>
          <w:lang w:val="lv-LV"/>
        </w:rPr>
        <w:t>“Siguldas Būvmeistars”</w:t>
      </w:r>
      <w:r w:rsidRPr="0012377D">
        <w:rPr>
          <w:rFonts w:ascii="Times New Roman" w:hAnsi="Times New Roman"/>
          <w:sz w:val="24"/>
          <w:szCs w:val="24"/>
          <w:shd w:val="clear" w:color="auto" w:fill="FFFFFF"/>
          <w:lang w:val="lv-LV"/>
        </w:rPr>
        <w:t>,</w:t>
      </w:r>
      <w:r w:rsidRPr="0012377D">
        <w:rPr>
          <w:rFonts w:ascii="Times New Roman" w:eastAsia="Times New Roman" w:hAnsi="Times New Roman"/>
          <w:sz w:val="24"/>
          <w:szCs w:val="24"/>
          <w:lang w:val="lv-LV" w:eastAsia="lv-LV"/>
        </w:rPr>
        <w:t xml:space="preserve"> reģistrācijas Nr. </w:t>
      </w:r>
      <w:r w:rsidRPr="0012377D">
        <w:rPr>
          <w:rFonts w:ascii="Times New Roman" w:hAnsi="Times New Roman"/>
          <w:sz w:val="24"/>
          <w:szCs w:val="24"/>
          <w:shd w:val="clear" w:color="auto" w:fill="FFFFFF"/>
          <w:lang w:val="lv-LV"/>
        </w:rPr>
        <w:t>40003047821</w:t>
      </w:r>
      <w:r w:rsidRPr="0012377D">
        <w:rPr>
          <w:rFonts w:ascii="Times New Roman" w:eastAsia="Times New Roman" w:hAnsi="Times New Roman"/>
          <w:sz w:val="24"/>
          <w:szCs w:val="24"/>
          <w:lang w:val="lv-LV" w:eastAsia="lv-LV"/>
        </w:rPr>
        <w:t xml:space="preserve">, juridiskā adrese: </w:t>
      </w:r>
      <w:r w:rsidRPr="0012377D">
        <w:rPr>
          <w:rFonts w:ascii="Times New Roman" w:hAnsi="Times New Roman"/>
          <w:sz w:val="24"/>
          <w:szCs w:val="24"/>
          <w:shd w:val="clear" w:color="auto" w:fill="FFFFFF"/>
          <w:lang w:val="lv-LV"/>
        </w:rPr>
        <w:t>Gāles iela 27, Sigulda, Siguldas novads LV-2150</w:t>
      </w:r>
      <w:r w:rsidRPr="0012377D">
        <w:rPr>
          <w:rFonts w:ascii="Times New Roman" w:eastAsia="Times New Roman" w:hAnsi="Times New Roman"/>
          <w:sz w:val="24"/>
          <w:szCs w:val="24"/>
          <w:lang w:val="lv-LV" w:eastAsia="lv-LV"/>
        </w:rPr>
        <w:t xml:space="preserve">, elektroniskā pasta adrese: </w:t>
      </w:r>
      <w:hyperlink r:id="rId6" w:history="1">
        <w:r w:rsidRPr="0012377D">
          <w:rPr>
            <w:rFonts w:ascii="Times New Roman" w:eastAsia="Times New Roman" w:hAnsi="Times New Roman"/>
            <w:sz w:val="24"/>
            <w:szCs w:val="24"/>
            <w:shd w:val="clear" w:color="auto" w:fill="FFFFFF"/>
            <w:lang w:val="lv-LV" w:eastAsia="lv-LV"/>
          </w:rPr>
          <w:t>info@</w:t>
        </w:r>
        <w:r w:rsidRPr="0012377D">
          <w:rPr>
            <w:rFonts w:ascii="Times New Roman" w:hAnsi="Times New Roman"/>
            <w:sz w:val="24"/>
            <w:szCs w:val="24"/>
            <w:lang w:val="lv-LV"/>
          </w:rPr>
          <w:t>buvmeistars</w:t>
        </w:r>
        <w:r w:rsidRPr="0012377D">
          <w:rPr>
            <w:rFonts w:ascii="Times New Roman" w:eastAsia="Times New Roman" w:hAnsi="Times New Roman"/>
            <w:sz w:val="24"/>
            <w:szCs w:val="24"/>
            <w:shd w:val="clear" w:color="auto" w:fill="FFFFFF"/>
            <w:lang w:val="lv-LV" w:eastAsia="lv-LV"/>
          </w:rPr>
          <w:t>.lv</w:t>
        </w:r>
      </w:hyperlink>
      <w:r w:rsidRPr="0012377D">
        <w:rPr>
          <w:rFonts w:ascii="Times New Roman" w:eastAsia="Times New Roman" w:hAnsi="Times New Roman"/>
          <w:sz w:val="24"/>
          <w:szCs w:val="24"/>
          <w:lang w:val="lv-LV" w:eastAsia="lv-LV"/>
        </w:rPr>
        <w:t xml:space="preserve"> (turpmāk – Ierosinātāja).</w:t>
      </w:r>
    </w:p>
    <w:p w:rsidR="00351A06" w:rsidRPr="0012377D" w:rsidP="00351A06" w14:paraId="42D1FB26" w14:textId="77777777">
      <w:pPr>
        <w:spacing w:before="240" w:after="240" w:line="240" w:lineRule="auto"/>
        <w:jc w:val="both"/>
        <w:rPr>
          <w:rFonts w:ascii="Times New Roman" w:eastAsia="Times New Roman" w:hAnsi="Times New Roman"/>
          <w:sz w:val="24"/>
          <w:szCs w:val="24"/>
          <w:lang w:val="lv-LV" w:eastAsia="lv-LV"/>
        </w:rPr>
      </w:pPr>
      <w:r w:rsidRPr="0012377D">
        <w:rPr>
          <w:rFonts w:ascii="Times New Roman" w:eastAsia="Times New Roman" w:hAnsi="Times New Roman"/>
          <w:b/>
          <w:bCs/>
          <w:sz w:val="24"/>
          <w:szCs w:val="24"/>
          <w:lang w:val="lv-LV" w:eastAsia="lv-LV"/>
        </w:rPr>
        <w:t>Paredzētās darbības nosaukums:</w:t>
      </w:r>
      <w:r w:rsidRPr="0012377D">
        <w:rPr>
          <w:rFonts w:ascii="Times New Roman" w:eastAsia="Times New Roman" w:hAnsi="Times New Roman"/>
          <w:sz w:val="24"/>
          <w:szCs w:val="24"/>
          <w:lang w:val="lv-LV" w:eastAsia="lv-LV"/>
        </w:rPr>
        <w:t xml:space="preserve"> </w:t>
      </w:r>
      <w:r w:rsidRPr="0012377D">
        <w:rPr>
          <w:rFonts w:ascii="Times New Roman" w:hAnsi="Times New Roman"/>
          <w:sz w:val="24"/>
          <w:szCs w:val="24"/>
          <w:shd w:val="clear" w:color="auto" w:fill="FFFFFF"/>
          <w:lang w:val="lv-LV" w:eastAsia="lv-LV"/>
        </w:rPr>
        <w:t xml:space="preserve">dolomīta ieguves darbu paplašināšana dolomīta atradnē </w:t>
      </w:r>
      <w:r w:rsidRPr="0012377D">
        <w:rPr>
          <w:rFonts w:ascii="Times New Roman" w:hAnsi="Times New Roman"/>
          <w:i/>
          <w:iCs/>
          <w:sz w:val="24"/>
          <w:szCs w:val="24"/>
          <w:shd w:val="clear" w:color="auto" w:fill="FFFFFF"/>
          <w:lang w:val="lv-LV" w:eastAsia="lv-LV"/>
        </w:rPr>
        <w:t>“Tūrkalne”</w:t>
      </w:r>
      <w:r w:rsidRPr="0012377D">
        <w:rPr>
          <w:rFonts w:ascii="Times New Roman" w:hAnsi="Times New Roman"/>
          <w:sz w:val="24"/>
          <w:szCs w:val="24"/>
          <w:shd w:val="clear" w:color="auto" w:fill="FFFFFF"/>
          <w:lang w:val="lv-LV" w:eastAsia="lv-LV"/>
        </w:rPr>
        <w:t xml:space="preserve"> </w:t>
      </w:r>
      <w:r w:rsidRPr="0012377D">
        <w:rPr>
          <w:rFonts w:ascii="Times New Roman" w:eastAsia="Times New Roman" w:hAnsi="Times New Roman"/>
          <w:spacing w:val="1"/>
          <w:sz w:val="24"/>
          <w:szCs w:val="24"/>
          <w:lang w:val="lv-LV" w:eastAsia="lv-LV"/>
        </w:rPr>
        <w:t>(turpmāk arī – Paredzētā darbība).</w:t>
      </w:r>
    </w:p>
    <w:p w:rsidR="00351A06" w:rsidRPr="0012377D" w:rsidP="00351A06" w14:paraId="0C9CAF55" w14:textId="77777777">
      <w:pPr>
        <w:autoSpaceDE w:val="0"/>
        <w:autoSpaceDN w:val="0"/>
        <w:adjustRightInd w:val="0"/>
        <w:spacing w:before="240" w:after="240" w:line="240" w:lineRule="auto"/>
        <w:jc w:val="both"/>
        <w:rPr>
          <w:rFonts w:ascii="Times New Roman" w:eastAsia="Times New Roman" w:hAnsi="Times New Roman"/>
          <w:color w:val="000000"/>
          <w:spacing w:val="-4"/>
          <w:sz w:val="24"/>
          <w:szCs w:val="24"/>
          <w:lang w:val="lv-LV"/>
        </w:rPr>
      </w:pPr>
      <w:r w:rsidRPr="0012377D">
        <w:rPr>
          <w:rFonts w:ascii="Times New Roman" w:eastAsia="Times New Roman" w:hAnsi="Times New Roman"/>
          <w:b/>
          <w:bCs/>
          <w:sz w:val="24"/>
          <w:szCs w:val="24"/>
          <w:lang w:val="lv-LV"/>
        </w:rPr>
        <w:t>Paredzētās darbības iespējamā norises vieta:</w:t>
      </w:r>
      <w:r w:rsidRPr="0012377D">
        <w:rPr>
          <w:rFonts w:ascii="Times New Roman" w:eastAsia="Times New Roman" w:hAnsi="Times New Roman"/>
          <w:sz w:val="24"/>
          <w:szCs w:val="24"/>
          <w:lang w:val="lv-LV"/>
        </w:rPr>
        <w:t xml:space="preserve"> </w:t>
      </w:r>
      <w:r w:rsidRPr="0012377D">
        <w:rPr>
          <w:rFonts w:ascii="Times New Roman" w:hAnsi="Times New Roman"/>
          <w:sz w:val="24"/>
          <w:szCs w:val="24"/>
          <w:lang w:val="lv-LV"/>
        </w:rPr>
        <w:t xml:space="preserve">Ropažu novads, nekustamais īpašums </w:t>
      </w:r>
      <w:r w:rsidRPr="0012377D">
        <w:rPr>
          <w:rFonts w:ascii="Times New Roman" w:hAnsi="Times New Roman"/>
          <w:i/>
          <w:iCs/>
          <w:sz w:val="24"/>
          <w:szCs w:val="24"/>
          <w:lang w:val="lv-LV"/>
        </w:rPr>
        <w:t xml:space="preserve">“Tūrkalne” </w:t>
      </w:r>
      <w:r w:rsidRPr="0012377D">
        <w:rPr>
          <w:rFonts w:ascii="Times New Roman" w:hAnsi="Times New Roman"/>
          <w:sz w:val="24"/>
          <w:szCs w:val="24"/>
          <w:lang w:val="lv-LV"/>
        </w:rPr>
        <w:t xml:space="preserve">(kadastra Nr.8084 017 0040, zemes vienība ar kadastra apzīmējumu 8084 017 0101), nekustamais īpašums </w:t>
      </w:r>
      <w:r w:rsidRPr="0012377D">
        <w:rPr>
          <w:rFonts w:ascii="Times New Roman" w:hAnsi="Times New Roman"/>
          <w:i/>
          <w:iCs/>
          <w:sz w:val="24"/>
          <w:szCs w:val="24"/>
          <w:lang w:val="lv-LV"/>
        </w:rPr>
        <w:t xml:space="preserve">“Sināti” </w:t>
      </w:r>
      <w:r w:rsidRPr="0012377D">
        <w:rPr>
          <w:rFonts w:ascii="Times New Roman" w:hAnsi="Times New Roman"/>
          <w:sz w:val="24"/>
          <w:szCs w:val="24"/>
          <w:lang w:val="lv-LV"/>
        </w:rPr>
        <w:t xml:space="preserve">(kadastra Nr.8084 017 0010, zemes vienības ar kadastra apzīmējumiem 8084 017 0026, 8084 017 0010, 8084 017 0027 un 8084 017 0032), nekustamais īpašums </w:t>
      </w:r>
      <w:r w:rsidRPr="0012377D">
        <w:rPr>
          <w:rFonts w:ascii="Times New Roman" w:hAnsi="Times New Roman"/>
          <w:i/>
          <w:iCs/>
          <w:sz w:val="24"/>
          <w:szCs w:val="24"/>
          <w:lang w:val="lv-LV"/>
        </w:rPr>
        <w:t xml:space="preserve">“Daces” </w:t>
      </w:r>
      <w:r w:rsidRPr="0012377D">
        <w:rPr>
          <w:rFonts w:ascii="Times New Roman" w:hAnsi="Times New Roman"/>
          <w:sz w:val="24"/>
          <w:szCs w:val="24"/>
          <w:lang w:val="lv-LV"/>
        </w:rPr>
        <w:t xml:space="preserve">(kad. Nr.8084 017 0011, zemes vienība ar kadastra apzīmējumu 8084 017 0011), nekustamais īpašums </w:t>
      </w:r>
      <w:r w:rsidRPr="0012377D">
        <w:rPr>
          <w:rFonts w:ascii="Times New Roman" w:hAnsi="Times New Roman"/>
          <w:i/>
          <w:iCs/>
          <w:sz w:val="24"/>
          <w:szCs w:val="24"/>
          <w:lang w:val="lv-LV"/>
        </w:rPr>
        <w:t>“Vecpurmalas”</w:t>
      </w:r>
      <w:r w:rsidRPr="0012377D">
        <w:rPr>
          <w:rFonts w:ascii="Times New Roman" w:hAnsi="Times New Roman"/>
          <w:sz w:val="24"/>
          <w:szCs w:val="24"/>
          <w:lang w:val="lv-LV"/>
        </w:rPr>
        <w:t xml:space="preserve"> (kadastra Nr.8084 017 0023) zemes vienība ar kadastra apzīmējumu 8084 017 0023), nekustamais īpašums </w:t>
      </w:r>
      <w:r w:rsidRPr="0012377D">
        <w:rPr>
          <w:rFonts w:ascii="Times New Roman" w:hAnsi="Times New Roman"/>
          <w:i/>
          <w:iCs/>
          <w:sz w:val="24"/>
          <w:szCs w:val="24"/>
          <w:lang w:val="lv-LV"/>
        </w:rPr>
        <w:t>“Robežnieki”</w:t>
      </w:r>
      <w:r w:rsidRPr="0012377D">
        <w:rPr>
          <w:rFonts w:ascii="Times New Roman" w:hAnsi="Times New Roman"/>
          <w:sz w:val="24"/>
          <w:szCs w:val="24"/>
          <w:lang w:val="lv-LV"/>
        </w:rPr>
        <w:t xml:space="preserve"> (kadastra Nr.8084 017 0052, zemes vienība ar kadastra apzīmējumu 8084 017 0052), nekustamais īpašums </w:t>
      </w:r>
      <w:r w:rsidRPr="0012377D">
        <w:rPr>
          <w:rFonts w:ascii="Times New Roman" w:hAnsi="Times New Roman"/>
          <w:i/>
          <w:iCs/>
          <w:sz w:val="24"/>
          <w:szCs w:val="24"/>
          <w:lang w:val="lv-LV"/>
        </w:rPr>
        <w:t>“Brekšutakas”</w:t>
      </w:r>
      <w:r w:rsidRPr="0012377D">
        <w:rPr>
          <w:rFonts w:ascii="Times New Roman" w:hAnsi="Times New Roman"/>
          <w:sz w:val="24"/>
          <w:szCs w:val="24"/>
          <w:lang w:val="lv-LV"/>
        </w:rPr>
        <w:t xml:space="preserve"> (kadastra Nr.8084 017 0105, zemes vienība ar kadastra apzīmējumu 8084 017 0018),  nekustamais īpašums </w:t>
      </w:r>
      <w:r w:rsidRPr="0012377D">
        <w:rPr>
          <w:rFonts w:ascii="Times New Roman" w:hAnsi="Times New Roman"/>
          <w:i/>
          <w:iCs/>
          <w:sz w:val="24"/>
          <w:szCs w:val="24"/>
          <w:lang w:val="lv-LV"/>
        </w:rPr>
        <w:t>“Akmenāji”</w:t>
      </w:r>
      <w:r w:rsidRPr="0012377D">
        <w:rPr>
          <w:rFonts w:ascii="Times New Roman" w:hAnsi="Times New Roman"/>
          <w:sz w:val="24"/>
          <w:szCs w:val="24"/>
          <w:lang w:val="lv-LV"/>
        </w:rPr>
        <w:t xml:space="preserve"> (kadastra Nr. 8084 017 0042, zemes vienība ar kadastra apzīmējumu 8084 017 0042 un 8084 017 0044), nekustamais īpašums </w:t>
      </w:r>
      <w:r w:rsidRPr="0012377D">
        <w:rPr>
          <w:rFonts w:ascii="Times New Roman" w:hAnsi="Times New Roman"/>
          <w:i/>
          <w:iCs/>
          <w:sz w:val="24"/>
          <w:szCs w:val="24"/>
          <w:lang w:val="lv-LV"/>
        </w:rPr>
        <w:t>“Krūmiņi”</w:t>
      </w:r>
      <w:r w:rsidRPr="0012377D">
        <w:rPr>
          <w:rFonts w:ascii="Times New Roman" w:hAnsi="Times New Roman"/>
          <w:sz w:val="24"/>
          <w:szCs w:val="24"/>
          <w:lang w:val="lv-LV"/>
        </w:rPr>
        <w:t xml:space="preserve"> (kadastra Nr. 8084 017 0075, zemes vienība ar kadastra apzīmējumu 8084 017 0075 un 8084 017 0077)</w:t>
      </w:r>
      <w:r w:rsidRPr="0012377D">
        <w:rPr>
          <w:rFonts w:ascii="Times New Roman" w:eastAsia="Times New Roman" w:hAnsi="Times New Roman"/>
          <w:sz w:val="24"/>
          <w:szCs w:val="24"/>
          <w:shd w:val="clear" w:color="auto" w:fill="FFFFFF"/>
          <w:lang w:val="lv-LV"/>
        </w:rPr>
        <w:t xml:space="preserve"> un </w:t>
      </w:r>
      <w:r w:rsidRPr="0012377D">
        <w:rPr>
          <w:rFonts w:ascii="Times New Roman" w:hAnsi="Times New Roman"/>
          <w:sz w:val="24"/>
          <w:szCs w:val="24"/>
          <w:lang w:val="lv-LV"/>
        </w:rPr>
        <w:t xml:space="preserve">nekustamais īpašums </w:t>
      </w:r>
      <w:r w:rsidRPr="0012377D">
        <w:rPr>
          <w:rFonts w:ascii="Times New Roman" w:hAnsi="Times New Roman"/>
          <w:i/>
          <w:iCs/>
          <w:sz w:val="24"/>
          <w:szCs w:val="24"/>
          <w:lang w:val="lv-LV"/>
        </w:rPr>
        <w:t>“Ceļš”</w:t>
      </w:r>
      <w:r w:rsidRPr="0012377D">
        <w:rPr>
          <w:rFonts w:ascii="Times New Roman" w:hAnsi="Times New Roman"/>
          <w:sz w:val="24"/>
          <w:szCs w:val="24"/>
          <w:lang w:val="lv-LV"/>
        </w:rPr>
        <w:t xml:space="preserve"> (kadastra Nr. 8084 017 0106, zemes vienība ar kadastra apzīmējumu 8084 017 0106)</w:t>
      </w:r>
      <w:r w:rsidRPr="0012377D">
        <w:rPr>
          <w:rFonts w:ascii="Times New Roman" w:eastAsia="Times New Roman" w:hAnsi="Times New Roman"/>
          <w:sz w:val="24"/>
          <w:szCs w:val="24"/>
          <w:shd w:val="clear" w:color="auto" w:fill="FFFFFF"/>
          <w:lang w:val="lv-LV"/>
        </w:rPr>
        <w:t xml:space="preserve">  (turpmāk – Darbības vieta)</w:t>
      </w:r>
      <w:r w:rsidRPr="0012377D">
        <w:rPr>
          <w:rFonts w:ascii="Times New Roman" w:eastAsia="Times New Roman" w:hAnsi="Times New Roman"/>
          <w:bCs/>
          <w:sz w:val="24"/>
          <w:szCs w:val="24"/>
          <w:lang w:val="lv-LV"/>
        </w:rPr>
        <w:t>.</w:t>
      </w:r>
    </w:p>
    <w:p w:rsidR="00351A06" w:rsidRPr="0012377D" w:rsidP="00351A06" w14:paraId="71FF1124" w14:textId="77777777">
      <w:pPr>
        <w:widowControl/>
        <w:spacing w:before="240" w:after="240" w:line="240" w:lineRule="auto"/>
        <w:jc w:val="both"/>
        <w:rPr>
          <w:rFonts w:ascii="Times New Roman" w:eastAsia="Times New Roman" w:hAnsi="Times New Roman"/>
          <w:b/>
          <w:sz w:val="24"/>
          <w:szCs w:val="24"/>
          <w:lang w:val="lv-LV"/>
        </w:rPr>
      </w:pPr>
      <w:r w:rsidRPr="0012377D">
        <w:rPr>
          <w:rFonts w:ascii="Times New Roman" w:eastAsia="Times New Roman" w:hAnsi="Times New Roman"/>
          <w:b/>
          <w:sz w:val="24"/>
          <w:szCs w:val="24"/>
          <w:lang w:val="lv-LV"/>
        </w:rPr>
        <w:t xml:space="preserve">Izvērtētā dokumentācija: </w:t>
      </w:r>
    </w:p>
    <w:p w:rsidR="00351A06" w:rsidRPr="0012377D" w:rsidP="00351A06" w14:paraId="614173EF" w14:textId="77777777">
      <w:pPr>
        <w:pStyle w:val="ListParagraph"/>
        <w:numPr>
          <w:ilvl w:val="0"/>
          <w:numId w:val="14"/>
        </w:numPr>
        <w:spacing w:before="120" w:after="120" w:line="240" w:lineRule="auto"/>
        <w:ind w:left="284" w:hanging="284"/>
        <w:contextualSpacing w:val="0"/>
        <w:jc w:val="both"/>
        <w:rPr>
          <w:rFonts w:ascii="Times New Roman" w:eastAsia="Times New Roman" w:hAnsi="Times New Roman"/>
          <w:sz w:val="24"/>
          <w:szCs w:val="24"/>
          <w:lang w:val="lv-LV"/>
        </w:rPr>
      </w:pPr>
      <w:r w:rsidRPr="0012377D">
        <w:rPr>
          <w:rFonts w:ascii="Times New Roman" w:eastAsia="Times New Roman" w:hAnsi="Times New Roman"/>
          <w:sz w:val="24"/>
          <w:szCs w:val="24"/>
          <w:lang w:val="lv-LV"/>
        </w:rPr>
        <w:t xml:space="preserve">Ierosinātājas 2023. gada 7. novembra iesniegums Nr. </w:t>
      </w:r>
      <w:r w:rsidRPr="0012377D">
        <w:rPr>
          <w:rFonts w:ascii="Times New Roman" w:hAnsi="Times New Roman"/>
          <w:sz w:val="24"/>
          <w:szCs w:val="24"/>
          <w:lang w:val="lv-LV"/>
        </w:rPr>
        <w:t>1-10/R-23/99</w:t>
      </w:r>
      <w:r w:rsidRPr="0012377D">
        <w:rPr>
          <w:rFonts w:ascii="Times New Roman" w:eastAsia="Times New Roman" w:hAnsi="Times New Roman"/>
          <w:i/>
          <w:iCs/>
          <w:sz w:val="24"/>
          <w:szCs w:val="24"/>
          <w:lang w:val="lv-LV"/>
        </w:rPr>
        <w:t xml:space="preserve"> “</w:t>
      </w:r>
      <w:r w:rsidRPr="0012377D">
        <w:rPr>
          <w:rFonts w:ascii="Times New Roman" w:hAnsi="Times New Roman"/>
          <w:i/>
          <w:iCs/>
          <w:sz w:val="24"/>
          <w:szCs w:val="24"/>
          <w:lang w:val="lv-LV"/>
        </w:rPr>
        <w:t>Papildus kadastra vienību iekļaušana Ietekmes uz vidi novērtējuma procesā dolomīta ieguves darbu paplašināšanas projekta iecerei dolomīta atradnē “Tūrkalne””</w:t>
      </w:r>
      <w:r w:rsidRPr="0012377D">
        <w:rPr>
          <w:rFonts w:ascii="Times New Roman" w:hAnsi="Times New Roman"/>
          <w:sz w:val="24"/>
          <w:szCs w:val="24"/>
          <w:lang w:val="lv-LV"/>
        </w:rPr>
        <w:t xml:space="preserve"> </w:t>
      </w:r>
      <w:r w:rsidRPr="0012377D">
        <w:rPr>
          <w:rFonts w:ascii="Times New Roman" w:eastAsia="Times New Roman" w:hAnsi="Times New Roman"/>
          <w:sz w:val="24"/>
          <w:szCs w:val="24"/>
          <w:lang w:val="lv-LV"/>
        </w:rPr>
        <w:t>(turpmāk - 2023. gada 7. novembra Iesniegums)</w:t>
      </w:r>
      <w:r>
        <w:rPr>
          <w:rStyle w:val="FootnoteReference"/>
          <w:rFonts w:ascii="Times New Roman" w:eastAsia="Times New Roman" w:hAnsi="Times New Roman"/>
          <w:sz w:val="24"/>
          <w:szCs w:val="24"/>
          <w:lang w:val="lv-LV"/>
        </w:rPr>
        <w:footnoteReference w:id="2"/>
      </w:r>
      <w:r w:rsidRPr="0012377D">
        <w:rPr>
          <w:rFonts w:ascii="Times New Roman" w:eastAsia="Times New Roman" w:hAnsi="Times New Roman"/>
          <w:sz w:val="24"/>
          <w:szCs w:val="24"/>
          <w:lang w:val="lv-LV"/>
        </w:rPr>
        <w:t>.</w:t>
      </w:r>
    </w:p>
    <w:p w:rsidR="00351A06" w:rsidRPr="0012377D" w:rsidP="00351A06" w14:paraId="27097A5B" w14:textId="77777777">
      <w:pPr>
        <w:pStyle w:val="ListParagraph"/>
        <w:numPr>
          <w:ilvl w:val="0"/>
          <w:numId w:val="14"/>
        </w:numPr>
        <w:spacing w:before="120" w:after="120" w:line="240" w:lineRule="auto"/>
        <w:ind w:left="284" w:hanging="284"/>
        <w:contextualSpacing w:val="0"/>
        <w:jc w:val="both"/>
        <w:rPr>
          <w:rFonts w:ascii="Times New Roman" w:eastAsia="Times New Roman" w:hAnsi="Times New Roman"/>
          <w:sz w:val="24"/>
          <w:szCs w:val="24"/>
          <w:lang w:val="lv-LV"/>
        </w:rPr>
      </w:pPr>
      <w:bookmarkStart w:id="1" w:name="_Hlk109758873"/>
      <w:r w:rsidRPr="0012377D">
        <w:rPr>
          <w:rFonts w:ascii="Times New Roman" w:eastAsia="Times New Roman" w:hAnsi="Times New Roman"/>
          <w:sz w:val="24"/>
          <w:szCs w:val="24"/>
          <w:lang w:val="lv-LV"/>
        </w:rPr>
        <w:t xml:space="preserve">Ierosinātājas 2023. gada 4. oktobra iesniegums Nr. </w:t>
      </w:r>
      <w:r w:rsidRPr="0012377D">
        <w:rPr>
          <w:rFonts w:ascii="Times New Roman" w:hAnsi="Times New Roman"/>
          <w:sz w:val="24"/>
          <w:szCs w:val="24"/>
          <w:lang w:val="lv-LV"/>
        </w:rPr>
        <w:t>1-10/R-23/90</w:t>
      </w:r>
      <w:r w:rsidRPr="0012377D">
        <w:rPr>
          <w:rFonts w:ascii="Times New Roman" w:eastAsia="Times New Roman" w:hAnsi="Times New Roman"/>
          <w:i/>
          <w:iCs/>
          <w:sz w:val="24"/>
          <w:szCs w:val="24"/>
          <w:lang w:val="lv-LV"/>
        </w:rPr>
        <w:t xml:space="preserve"> “</w:t>
      </w:r>
      <w:r w:rsidRPr="0012377D">
        <w:rPr>
          <w:rFonts w:ascii="Times New Roman" w:hAnsi="Times New Roman"/>
          <w:i/>
          <w:iCs/>
          <w:sz w:val="24"/>
          <w:szCs w:val="24"/>
          <w:lang w:val="lv-LV"/>
        </w:rPr>
        <w:t>Papildus kadastra vienību iekļaušana Ietekmes uz vidi novērtējuma procesā dolomīta ieguves darbu paplašināšanas projekta iecerei dolomīta atradnē “Tūrkalne””</w:t>
      </w:r>
      <w:r w:rsidRPr="0012377D">
        <w:rPr>
          <w:rFonts w:ascii="Times New Roman" w:hAnsi="Times New Roman"/>
          <w:sz w:val="24"/>
          <w:szCs w:val="24"/>
          <w:lang w:val="lv-LV"/>
        </w:rPr>
        <w:t xml:space="preserve"> </w:t>
      </w:r>
      <w:r w:rsidRPr="0012377D">
        <w:rPr>
          <w:rFonts w:ascii="Times New Roman" w:eastAsia="Times New Roman" w:hAnsi="Times New Roman"/>
          <w:sz w:val="24"/>
          <w:szCs w:val="24"/>
          <w:lang w:val="lv-LV"/>
        </w:rPr>
        <w:t xml:space="preserve">(turpmāk - 2023. gada </w:t>
      </w:r>
      <w:r w:rsidRPr="0012377D">
        <w:rPr>
          <w:rFonts w:ascii="Times New Roman" w:eastAsia="Times New Roman" w:hAnsi="Times New Roman"/>
          <w:sz w:val="24"/>
          <w:szCs w:val="24"/>
          <w:lang w:val="lv-LV"/>
        </w:rPr>
        <w:t>4. oktobra Iesniegums)</w:t>
      </w:r>
      <w:r>
        <w:rPr>
          <w:rStyle w:val="FootnoteReference"/>
          <w:rFonts w:ascii="Times New Roman" w:eastAsia="Times New Roman" w:hAnsi="Times New Roman"/>
          <w:sz w:val="24"/>
          <w:szCs w:val="24"/>
          <w:lang w:val="lv-LV"/>
        </w:rPr>
        <w:footnoteReference w:id="3"/>
      </w:r>
      <w:r w:rsidRPr="0012377D">
        <w:rPr>
          <w:rFonts w:ascii="Times New Roman" w:eastAsia="Times New Roman" w:hAnsi="Times New Roman"/>
          <w:sz w:val="24"/>
          <w:szCs w:val="24"/>
          <w:lang w:val="lv-LV"/>
        </w:rPr>
        <w:t>.</w:t>
      </w:r>
    </w:p>
    <w:p w:rsidR="00351A06" w:rsidRPr="0012377D" w:rsidP="00351A06" w14:paraId="31A7C96E" w14:textId="77777777">
      <w:pPr>
        <w:widowControl/>
        <w:numPr>
          <w:ilvl w:val="0"/>
          <w:numId w:val="14"/>
        </w:numPr>
        <w:spacing w:before="120" w:after="120" w:line="240" w:lineRule="auto"/>
        <w:ind w:left="283" w:hanging="284"/>
        <w:jc w:val="both"/>
        <w:rPr>
          <w:rFonts w:ascii="Times New Roman" w:eastAsia="Times New Roman" w:hAnsi="Times New Roman"/>
          <w:sz w:val="24"/>
          <w:szCs w:val="24"/>
          <w:lang w:val="lv-LV"/>
        </w:rPr>
      </w:pPr>
      <w:r w:rsidRPr="0012377D">
        <w:rPr>
          <w:rFonts w:ascii="Times New Roman" w:eastAsia="Times New Roman" w:hAnsi="Times New Roman"/>
          <w:sz w:val="24"/>
          <w:szCs w:val="24"/>
          <w:lang w:val="lv-LV"/>
        </w:rPr>
        <w:t xml:space="preserve">Vides pārraudzības valsts biroja (turpmāk – Birojs) 2021. gada 4. janvāra Lēmums Nr. 5-02/1 </w:t>
      </w:r>
      <w:r w:rsidRPr="0012377D">
        <w:rPr>
          <w:rFonts w:ascii="Times New Roman" w:eastAsia="Times New Roman" w:hAnsi="Times New Roman"/>
          <w:i/>
          <w:iCs/>
          <w:sz w:val="24"/>
          <w:szCs w:val="24"/>
          <w:lang w:val="lv-LV"/>
        </w:rPr>
        <w:t>“par ietekmes uz vidi novērtējuma procedūras piemērošanu”</w:t>
      </w:r>
      <w:r w:rsidRPr="0012377D">
        <w:rPr>
          <w:rFonts w:ascii="Times New Roman" w:eastAsia="Times New Roman" w:hAnsi="Times New Roman"/>
          <w:sz w:val="24"/>
          <w:szCs w:val="24"/>
          <w:lang w:val="lv-LV"/>
        </w:rPr>
        <w:t xml:space="preserve"> (turpmāk – Lēmums Nr. 5-02/1).</w:t>
      </w:r>
    </w:p>
    <w:p w:rsidR="00351A06" w:rsidRPr="0012377D" w:rsidP="00351A06" w14:paraId="0CE748AC" w14:textId="77777777">
      <w:pPr>
        <w:widowControl/>
        <w:numPr>
          <w:ilvl w:val="0"/>
          <w:numId w:val="14"/>
        </w:numPr>
        <w:spacing w:before="120" w:after="120" w:line="240" w:lineRule="auto"/>
        <w:ind w:left="283" w:hanging="284"/>
        <w:jc w:val="both"/>
        <w:rPr>
          <w:rFonts w:ascii="Times New Roman" w:eastAsia="Times New Roman" w:hAnsi="Times New Roman"/>
          <w:sz w:val="24"/>
          <w:szCs w:val="24"/>
          <w:lang w:val="lv-LV"/>
        </w:rPr>
      </w:pPr>
      <w:r w:rsidRPr="0012377D">
        <w:rPr>
          <w:rFonts w:ascii="Times New Roman" w:eastAsia="Times New Roman" w:hAnsi="Times New Roman"/>
          <w:sz w:val="24"/>
          <w:szCs w:val="24"/>
          <w:lang w:val="lv-LV"/>
        </w:rPr>
        <w:t xml:space="preserve">Biroja 2021. gada 31. marta Programma Nr. 5-03/3 </w:t>
      </w:r>
      <w:r w:rsidRPr="0012377D">
        <w:rPr>
          <w:rFonts w:ascii="Times New Roman" w:eastAsia="Times New Roman" w:hAnsi="Times New Roman"/>
          <w:i/>
          <w:iCs/>
          <w:sz w:val="24"/>
          <w:szCs w:val="24"/>
          <w:lang w:val="lv-LV"/>
        </w:rPr>
        <w:t>“ietekmes uz vidi novērtējumam dolomīta ieguves darbu paplašināšana dolomīta atradnē “Tūrkalne””</w:t>
      </w:r>
      <w:r w:rsidRPr="0012377D">
        <w:rPr>
          <w:rFonts w:ascii="Times New Roman" w:eastAsia="Times New Roman" w:hAnsi="Times New Roman"/>
          <w:sz w:val="24"/>
          <w:szCs w:val="24"/>
          <w:lang w:val="lv-LV"/>
        </w:rPr>
        <w:t xml:space="preserve"> (turpmāk – Programma Nr. 5-03/3).</w:t>
      </w:r>
    </w:p>
    <w:bookmarkEnd w:id="1"/>
    <w:p w:rsidR="00351A06" w:rsidRPr="0012377D" w:rsidP="00351A06" w14:paraId="1FDB9B72" w14:textId="77777777">
      <w:pPr>
        <w:widowControl/>
        <w:spacing w:before="240" w:after="240" w:line="240" w:lineRule="auto"/>
        <w:jc w:val="both"/>
        <w:rPr>
          <w:rFonts w:ascii="Times New Roman" w:eastAsia="Times New Roman" w:hAnsi="Times New Roman"/>
          <w:b/>
          <w:bCs/>
          <w:sz w:val="24"/>
          <w:szCs w:val="24"/>
          <w:lang w:val="lv-LV"/>
        </w:rPr>
      </w:pPr>
      <w:r w:rsidRPr="0012377D">
        <w:rPr>
          <w:rFonts w:ascii="Times New Roman" w:eastAsia="Times New Roman" w:hAnsi="Times New Roman"/>
          <w:b/>
          <w:bCs/>
          <w:sz w:val="24"/>
          <w:szCs w:val="24"/>
          <w:lang w:val="lv-LV"/>
        </w:rPr>
        <w:t>Faktu konstatācija un izvērtējums:</w:t>
      </w:r>
    </w:p>
    <w:p w:rsidR="00351A06" w:rsidRPr="0012377D" w:rsidP="00351A06" w14:paraId="46E7174A" w14:textId="77777777">
      <w:pPr>
        <w:pStyle w:val="NormalWeb"/>
        <w:numPr>
          <w:ilvl w:val="0"/>
          <w:numId w:val="16"/>
        </w:numPr>
        <w:spacing w:before="120" w:beforeAutospacing="0" w:after="120" w:afterAutospacing="0"/>
        <w:jc w:val="both"/>
      </w:pPr>
      <w:bookmarkStart w:id="2" w:name="_Hlk109758831"/>
      <w:r w:rsidRPr="0012377D">
        <w:t xml:space="preserve">Birojs ir saņēmis Ierosinātājas 2023. gada 4. oktobra Iesniegumu, ar kuru Ierosinātāja lūdz Biroju iekļaut jaunas zemes vienības plānotajā  dolomīta atradnes </w:t>
      </w:r>
      <w:r w:rsidRPr="0012377D">
        <w:rPr>
          <w:i/>
          <w:iCs/>
        </w:rPr>
        <w:t>“Tūrkalne”</w:t>
      </w:r>
      <w:r w:rsidRPr="0012377D">
        <w:t xml:space="preserve">  paplašināšanas projektā</w:t>
      </w:r>
      <w:r w:rsidRPr="0012377D">
        <w:rPr>
          <w:i/>
          <w:iCs/>
        </w:rPr>
        <w:t xml:space="preserve"> </w:t>
      </w:r>
      <w:r w:rsidRPr="0012377D">
        <w:t>un 2023. gada 7. novembra Iesniegumu, kas precizē 2023. gada 4. oktobra Iesniegumu ar informāciju par zemes vienību un informēto/informējamo robežzemju īpašniekiem/valdītājiem.</w:t>
      </w:r>
    </w:p>
    <w:p w:rsidR="00351A06" w:rsidRPr="0012377D" w:rsidP="00351A06" w14:paraId="2A755889" w14:textId="77777777">
      <w:pPr>
        <w:pStyle w:val="NormalWeb"/>
        <w:numPr>
          <w:ilvl w:val="0"/>
          <w:numId w:val="16"/>
        </w:numPr>
        <w:tabs>
          <w:tab w:val="left" w:pos="0"/>
        </w:tabs>
        <w:spacing w:before="120" w:beforeAutospacing="0" w:after="120" w:afterAutospacing="0"/>
        <w:jc w:val="both"/>
      </w:pPr>
      <w:r w:rsidRPr="0012377D">
        <w:t xml:space="preserve">Birojs ar Lēmumu Nr. 5-02/1 piemēroja ietekmes uz vidi novērtējuma (turpmāk -  IVN) procedūru Ierosinātājas paredzētajai darbībai - </w:t>
      </w:r>
      <w:r w:rsidRPr="0012377D">
        <w:rPr>
          <w:shd w:val="clear" w:color="auto" w:fill="FFFFFF"/>
        </w:rPr>
        <w:t xml:space="preserve">dolomīta ieguves darbu paplašināšanai dolomīta atradnē </w:t>
      </w:r>
      <w:r w:rsidRPr="0012377D">
        <w:rPr>
          <w:i/>
          <w:iCs/>
          <w:shd w:val="clear" w:color="auto" w:fill="FFFFFF"/>
        </w:rPr>
        <w:t>“Tūrkalne”</w:t>
      </w:r>
      <w:r w:rsidRPr="0012377D">
        <w:rPr>
          <w:shd w:val="clear" w:color="auto" w:fill="FFFFFF"/>
        </w:rPr>
        <w:t xml:space="preserve"> </w:t>
      </w:r>
      <w:r w:rsidRPr="0012377D">
        <w:t xml:space="preserve">Ropažu novadā, nekustamajā īpašumā </w:t>
      </w:r>
      <w:r w:rsidRPr="0012377D">
        <w:rPr>
          <w:i/>
          <w:iCs/>
        </w:rPr>
        <w:t xml:space="preserve">“Tūrkalne” </w:t>
      </w:r>
      <w:r w:rsidRPr="0012377D">
        <w:t xml:space="preserve">(kadastra Nr.8084 017 0040, zemes vienība ar kadastra apzīmējumu 8084 017 0101),  nekustamajā īpašumā </w:t>
      </w:r>
      <w:r w:rsidRPr="0012377D">
        <w:rPr>
          <w:i/>
          <w:iCs/>
        </w:rPr>
        <w:t xml:space="preserve">“Sināti” </w:t>
      </w:r>
      <w:r w:rsidRPr="0012377D">
        <w:t xml:space="preserve">(kadastra Nr.8084 017 0010, zemes vienības ar kadastra apzīmējumiem 8084 017 0026, 8084 017 0010 un 8084 017 0027), nekustamajā īpašumā </w:t>
      </w:r>
      <w:r w:rsidRPr="0012377D">
        <w:rPr>
          <w:i/>
          <w:iCs/>
        </w:rPr>
        <w:t xml:space="preserve">“Daces” </w:t>
      </w:r>
      <w:r w:rsidRPr="0012377D">
        <w:t xml:space="preserve">(kad. Nr.8084 017 0011, zemes vienība ar kadastra apzīmējumu 8084 017 0011), nekustamajā īpašumā </w:t>
      </w:r>
      <w:r w:rsidRPr="0012377D">
        <w:rPr>
          <w:i/>
          <w:iCs/>
        </w:rPr>
        <w:t>“Vecpurmalas”</w:t>
      </w:r>
      <w:r w:rsidRPr="0012377D">
        <w:t xml:space="preserve"> (kadastra Nr.8084 017 0023) zemes vienība ar kadastra apzīmējumu 8084 017 0023), nekustamajā īpašumā </w:t>
      </w:r>
      <w:r w:rsidRPr="0012377D">
        <w:rPr>
          <w:i/>
          <w:iCs/>
        </w:rPr>
        <w:t>“Robežnieki”</w:t>
      </w:r>
      <w:r w:rsidRPr="0012377D">
        <w:t xml:space="preserve"> (kadastra Nr.8084 017 0052, zemes vienība ar kadastra apzīmējumu 8084 017 0052) un nekustamajā īpašumā </w:t>
      </w:r>
      <w:r w:rsidRPr="0012377D">
        <w:rPr>
          <w:i/>
          <w:iCs/>
        </w:rPr>
        <w:t>“Brekšutakas”</w:t>
      </w:r>
      <w:r w:rsidRPr="0012377D">
        <w:t xml:space="preserve"> (kadastra Nr.8084 017 0105, zemes vienība ar kadastra apzīmējumu 8084 017 0018)</w:t>
      </w:r>
      <w:bookmarkEnd w:id="2"/>
      <w:r w:rsidRPr="0012377D">
        <w:t>.  Esošo īpašumu kopējā platība 116,211 ha</w:t>
      </w:r>
      <w:r>
        <w:rPr>
          <w:rStyle w:val="FootnoteReference"/>
        </w:rPr>
        <w:footnoteReference w:id="4"/>
      </w:r>
      <w:r w:rsidRPr="0012377D">
        <w:t xml:space="preserve">. Dolomīta ieguves darbu plānota turpināšana 1998. gada 22. jūlijā Ierosinātājai izsniegtās Zemes dzīļu izmantošanas licences Nr.8/22VP laukumā un paplašināmā teritorijā, kopā ~ 80,3 ha platībā. Derīgo izrakteņu ieguve plānota Lēmums Nr. 5-02/1 izdots, ņemot vērā Valsts vides dienesta Lielrīgas reģionālā vides pārvalde 2020. gada 7. decembra vēstuli Nr. 2.3./10133/RI/2020 un Ierosinātājas 2020. gada 4. decembra iesniegums </w:t>
      </w:r>
      <w:r w:rsidRPr="0012377D">
        <w:rPr>
          <w:i/>
          <w:iCs/>
        </w:rPr>
        <w:t>“Iesniegums ietekmes uz vidi izvērtējumam”.</w:t>
      </w:r>
    </w:p>
    <w:p w:rsidR="00351A06" w:rsidRPr="0012377D" w:rsidP="00351A06" w14:paraId="72D253C3" w14:textId="77777777">
      <w:pPr>
        <w:pStyle w:val="NormalWeb"/>
        <w:numPr>
          <w:ilvl w:val="0"/>
          <w:numId w:val="16"/>
        </w:numPr>
        <w:tabs>
          <w:tab w:val="left" w:pos="0"/>
        </w:tabs>
        <w:spacing w:before="120" w:beforeAutospacing="0" w:after="120" w:afterAutospacing="0"/>
        <w:jc w:val="both"/>
        <w:rPr>
          <w:bCs/>
        </w:rPr>
      </w:pPr>
      <w:r w:rsidRPr="0012377D">
        <w:rPr>
          <w:bCs/>
        </w:rPr>
        <w:t xml:space="preserve">Paredzētās darbības IVN sākotnējā sabiedriskā apspriešana (turpmāk – Sākotnējā apspriešana) notika no </w:t>
      </w:r>
      <w:r w:rsidRPr="0012377D">
        <w:t>2021. gada 19. februāra līdz 2021. gada 11. martam</w:t>
      </w:r>
      <w:r w:rsidRPr="0012377D">
        <w:rPr>
          <w:bCs/>
        </w:rPr>
        <w:t>, ievērojot likuma “</w:t>
      </w:r>
      <w:r w:rsidRPr="0012377D">
        <w:rPr>
          <w:bCs/>
          <w:i/>
          <w:iCs/>
        </w:rPr>
        <w:t>Par ietekmes uz vidi novērtējumu</w:t>
      </w:r>
      <w:r w:rsidRPr="0012377D">
        <w:rPr>
          <w:bCs/>
        </w:rPr>
        <w:t>” (turpmāk - Novērtējuma likums) 15. pantā un Ministru kabineta 2015. gada 13. janvāra noteikumu Nr. 18</w:t>
      </w:r>
      <w:r w:rsidRPr="0012377D">
        <w:rPr>
          <w:bCs/>
          <w:i/>
          <w:iCs/>
        </w:rPr>
        <w:t xml:space="preserve"> “Kārtība, kādā novērtē paredzētās darbības ietekmi uz vidi un akceptē paredzēto darbību”</w:t>
      </w:r>
      <w:r w:rsidRPr="0012377D">
        <w:rPr>
          <w:bCs/>
        </w:rPr>
        <w:t xml:space="preserve"> (turpmāk – Noteikumi Nr. 18) 22. - 28. punktā un likuma </w:t>
      </w:r>
      <w:r w:rsidRPr="0012377D">
        <w:rPr>
          <w:bCs/>
          <w:i/>
        </w:rPr>
        <w:t>“Covid-19 infekcijas izplatības pārvaldības likums”</w:t>
      </w:r>
      <w:r w:rsidRPr="0012377D">
        <w:rPr>
          <w:bCs/>
        </w:rPr>
        <w:t xml:space="preserve"> 20. pantā un </w:t>
      </w:r>
      <w:r w:rsidRPr="0012377D">
        <w:rPr>
          <w:bCs/>
          <w:i/>
        </w:rPr>
        <w:t>Pārejas noteikumu</w:t>
      </w:r>
      <w:r w:rsidRPr="0012377D">
        <w:rPr>
          <w:bCs/>
        </w:rPr>
        <w:t xml:space="preserve"> 3. punktā noteikto. Birojs, ņemot vērā Sākotnējās apspriešanas rezultātus, 2021. gada 31. martā Ierosinātājai izsniedza Programmu Nr. 5-03/3. </w:t>
      </w:r>
    </w:p>
    <w:p w:rsidR="00351A06" w:rsidRPr="0012377D" w:rsidP="00351A06" w14:paraId="09E4516F" w14:textId="690EF420">
      <w:pPr>
        <w:pStyle w:val="NormalWeb"/>
        <w:numPr>
          <w:ilvl w:val="0"/>
          <w:numId w:val="16"/>
        </w:numPr>
        <w:spacing w:before="120" w:beforeAutospacing="0" w:after="120" w:afterAutospacing="0"/>
        <w:jc w:val="both"/>
      </w:pPr>
      <w:r w:rsidRPr="0012377D">
        <w:t xml:space="preserve">Atbilstoši Ierosinātājas 2023. gada 4. oktobra Iesniegumā un 2023. gada 7. novembra Iesniegumā sniegtajai informācijai, Birojs vērtē grozījumu veikšanu Lēmumā Nr. 5-02/1. Atbilstoši Ierosinātājas sniegtajai informācijai nekustamajā īpašumā </w:t>
      </w:r>
      <w:r w:rsidRPr="0012377D">
        <w:rPr>
          <w:i/>
          <w:iCs/>
        </w:rPr>
        <w:t xml:space="preserve">“Sināti” </w:t>
      </w:r>
      <w:r w:rsidRPr="0012377D">
        <w:t xml:space="preserve">(kadastra Nr.8084 017 0010, zemes vienības ar kadastra apzīmējumu 8084 017 0032) paredzēta ražošanas iekārtu un produkcijas uzglabāšanas novietnes izvietošana, nekustamais īpašums </w:t>
      </w:r>
      <w:r w:rsidRPr="0012377D">
        <w:rPr>
          <w:i/>
          <w:iCs/>
        </w:rPr>
        <w:t>“Akmenāji”</w:t>
      </w:r>
      <w:r w:rsidRPr="0012377D">
        <w:t xml:space="preserve"> (kadastra Nr. 8084 017 0042, zemes vienība ar kadastra apzīmējumu 8084 017 0042 un 8084 017 0044) - potenciālā atradne un teritorija ražošanas iekārtu un produkcijas uzglabāšanas novietnes izvietošanai, nekustamais īpašums </w:t>
      </w:r>
      <w:r w:rsidRPr="0012377D">
        <w:rPr>
          <w:i/>
          <w:iCs/>
        </w:rPr>
        <w:t>“Krūmiņi”</w:t>
      </w:r>
      <w:r w:rsidRPr="0012377D">
        <w:t xml:space="preserve"> (kadastra Nr. 8084 017 0075, zemes vienība ar kadastra apzīmējumu 8084 017 0075 un 8084 017 0077)</w:t>
      </w:r>
      <w:r w:rsidRPr="0012377D">
        <w:rPr>
          <w:shd w:val="clear" w:color="auto" w:fill="FFFFFF"/>
        </w:rPr>
        <w:t xml:space="preserve"> - potenciālā atradnes vieta, savukārt </w:t>
      </w:r>
      <w:r w:rsidRPr="0012377D">
        <w:t xml:space="preserve">nekustamais īpašums </w:t>
      </w:r>
      <w:r w:rsidRPr="0012377D">
        <w:rPr>
          <w:i/>
          <w:iCs/>
        </w:rPr>
        <w:t>“Ceļš”</w:t>
      </w:r>
      <w:r w:rsidRPr="0012377D">
        <w:t xml:space="preserve"> (kadastra Nr. 8084 017 0106, zemes vienība ar kadastra apzīmējumu 8084 017 0106) potenciālā atradne vai ceļa atjaunošana pēc potenciālās atradnes izstrādes veikšanas. Izvērtējis 2023. gada 4. oktobra Iesniegumu un 2023. gada 7. novembra Iesniegumu, Birojs secina, ka Paredzētā darbība nav mainījusies, Paredzētās darbības norises vieta / izpētes teritorija salīdzinot ar sākotnēji pieteikto un sabiedrībā apspriesto nav būtiski mainījusies, jo Ierosinātāja iekļauj Darbības vietā 6  zemes vienības (5 zemes vienības ir Ierosinātājas īpašums, bet īpašuma </w:t>
      </w:r>
      <w:r w:rsidRPr="0012377D">
        <w:rPr>
          <w:i/>
          <w:iCs/>
        </w:rPr>
        <w:t>“Ceļš”</w:t>
      </w:r>
      <w:r w:rsidRPr="0012377D">
        <w:t xml:space="preserve"> īpašnieks ir Ropažu novada pašvaldība), kuras atrodas vai robežojas jau ar Lēmumā Nr. 5-02/1 darbības vietā iekļautās zemes vienībām. Kopumā plānots sākotnēji pieteikto teritoriju paplašināt par 18,43  ha - derīgo izrakteņu ieguves teritorija paplašināsies par 7,03  ha salīdzinājumā ar sākotnēji pieteikto (~ 80,3 ha), bet teritorijā, kur derīgo izrakteņu ieguve veikta/ tiek veikta</w:t>
      </w:r>
      <w:r>
        <w:rPr>
          <w:rStyle w:val="FootnoteReference"/>
        </w:rPr>
        <w:footnoteReference w:id="5"/>
      </w:r>
      <w:r w:rsidRPr="0012377D">
        <w:t>, plānota ražošanas iekārtu izvietošana</w:t>
      </w:r>
      <w:r>
        <w:t xml:space="preserve"> </w:t>
      </w:r>
      <w:r w:rsidRPr="0012377D">
        <w:t xml:space="preserve">11,4 ha platībā. </w:t>
      </w:r>
    </w:p>
    <w:p w:rsidR="00351A06" w:rsidRPr="0012377D" w:rsidP="00351A06" w14:paraId="1714D0E4" w14:textId="77777777">
      <w:pPr>
        <w:pStyle w:val="NormalWeb"/>
        <w:numPr>
          <w:ilvl w:val="0"/>
          <w:numId w:val="16"/>
        </w:numPr>
        <w:spacing w:before="120" w:beforeAutospacing="0" w:after="120" w:afterAutospacing="0"/>
        <w:jc w:val="both"/>
        <w:rPr>
          <w:b/>
          <w:lang w:eastAsia="en-GB"/>
        </w:rPr>
      </w:pPr>
      <w:r w:rsidRPr="0012377D">
        <w:t>Izvērtējot Sākotnējā apspriešanā laika posmā no 2021. gada 19. februāra līdz 2021. gada 11. martam</w:t>
      </w:r>
      <w:r>
        <w:rPr>
          <w:rStyle w:val="FootnoteReference"/>
        </w:rPr>
        <w:footnoteReference w:id="6"/>
      </w:r>
      <w:r w:rsidRPr="0012377D">
        <w:t xml:space="preserve">  veiktos individuālos informēšanas pasākumus, secināms, ka par Ierosinātājas Paredzēto darbību ir informēti gandrīz visi pieguļošo zemju īpašnieki, izņemot viens </w:t>
      </w:r>
      <w:bookmarkStart w:id="3" w:name="_Hlk151985322"/>
      <w:r w:rsidRPr="0012377D">
        <w:t xml:space="preserve">nekustamā īpašuma īpašnieks (zemes vienība ar kadastra apzīmējumu 80840170047), </w:t>
      </w:r>
      <w:bookmarkEnd w:id="3"/>
      <w:r w:rsidRPr="0012377D">
        <w:t xml:space="preserve">kura zemes vienība robežojas ar Ierosinātājai piederošo nekustamo īpašumu </w:t>
      </w:r>
      <w:r w:rsidRPr="0012377D">
        <w:rPr>
          <w:i/>
          <w:iCs/>
        </w:rPr>
        <w:t>“Akmenāji”</w:t>
      </w:r>
      <w:r w:rsidRPr="0012377D">
        <w:t xml:space="preserve"> (kadastra Nr. 8084 017 0042, zemes vienība ar kadastra apzīmējumu 8084 017 0044)</w:t>
      </w:r>
      <w:r w:rsidRPr="0012377D">
        <w:rPr>
          <w:lang w:eastAsia="en-GB"/>
        </w:rPr>
        <w:t>, kurš nav individuāli informēts par Ierosinātājas Paredzēto darbību</w:t>
      </w:r>
      <w:bookmarkStart w:id="4" w:name="_Hlk111556986"/>
      <w:r w:rsidRPr="0012377D">
        <w:t>.</w:t>
      </w:r>
    </w:p>
    <w:p w:rsidR="00351A06" w:rsidRPr="0012377D" w:rsidP="00351A06" w14:paraId="149E6BD6" w14:textId="77777777">
      <w:pPr>
        <w:pStyle w:val="NormalWeb"/>
        <w:numPr>
          <w:ilvl w:val="0"/>
          <w:numId w:val="16"/>
        </w:numPr>
        <w:spacing w:before="120" w:beforeAutospacing="0" w:after="120" w:afterAutospacing="0"/>
        <w:jc w:val="both"/>
        <w:rPr>
          <w:b/>
          <w:lang w:eastAsia="en-GB"/>
        </w:rPr>
      </w:pPr>
      <w:r w:rsidRPr="0012377D">
        <w:rPr>
          <w:lang w:eastAsia="en-GB"/>
        </w:rPr>
        <w:t xml:space="preserve">Novērtējis lietas apstākļus, projekta mērogu un apjomu, kā arī, ka Paredzētā darbība ir esošās darbības paplašināšana un  ņemot vērā šajā lēmumā iepriekš konstatēto, Birojs atzīst, ka nebūtu samērīgi Ierosinātājai kopumā uzdot veikt atkārtotu Sākotnējo apspriešanu. Tomēr Ierosinātājai ir jānodrošina individuāla paziņojuma nosūtīšana </w:t>
      </w:r>
      <w:r w:rsidRPr="0012377D">
        <w:t xml:space="preserve">zemes vienības ar kadastra apzīmējumu 80840170047 </w:t>
      </w:r>
      <w:r w:rsidRPr="0012377D">
        <w:rPr>
          <w:lang w:eastAsia="en-GB"/>
        </w:rPr>
        <w:t xml:space="preserve">īpašniekam (valdītājam), sniedzot informāciju par Paredzēto darbību un tās IVN procedūru, kā arī jānodrošina iegūt informāciju par Paredzēto darbību un iespēju attālināti iepazīties ar videoprezentāciju un uzdot jautājumus līdzvērtīgā apjomā un veidā, kā tas ticis darīts laika posmā </w:t>
      </w:r>
      <w:bookmarkEnd w:id="4"/>
      <w:r w:rsidRPr="0012377D">
        <w:t xml:space="preserve">no 2021. gada 19. februāra līdz 2021. gada 11. martam. Birojs vērš Ierosinātājas uzmanību, ka atbilstoši </w:t>
      </w:r>
      <w:r w:rsidRPr="0012377D">
        <w:rPr>
          <w:iCs/>
        </w:rPr>
        <w:t xml:space="preserve">Novērtējuma likuma </w:t>
      </w:r>
      <w:r w:rsidRPr="0012377D">
        <w:rPr>
          <w:bCs/>
          <w:iCs/>
        </w:rPr>
        <w:t xml:space="preserve">14. pantu </w:t>
      </w:r>
      <w:r w:rsidRPr="0012377D">
        <w:rPr>
          <w:bCs/>
          <w:i/>
        </w:rPr>
        <w:t>“</w:t>
      </w:r>
      <w:r w:rsidRPr="0012377D">
        <w:rPr>
          <w:i/>
        </w:rPr>
        <w:t xml:space="preserve">pirms paredzētās darbības ietekmes novērtējuma veikšanas konsultējas ar pašvaldību par paredzētās darbības īstenošanas iespējām pašvaldības teritorijā” </w:t>
      </w:r>
      <w:r w:rsidRPr="0012377D">
        <w:rPr>
          <w:iCs/>
        </w:rPr>
        <w:t>un</w:t>
      </w:r>
      <w:r w:rsidRPr="0012377D">
        <w:rPr>
          <w:i/>
        </w:rPr>
        <w:t xml:space="preserve"> </w:t>
      </w:r>
      <w:r w:rsidRPr="0012377D">
        <w:rPr>
          <w:shd w:val="clear" w:color="auto" w:fill="FFFFFF"/>
        </w:rPr>
        <w:t xml:space="preserve">Noteikumu Nr. 18 </w:t>
      </w:r>
      <w:r w:rsidRPr="0012377D">
        <w:t xml:space="preserve">19. punktu </w:t>
      </w:r>
      <w:r w:rsidRPr="0012377D">
        <w:rPr>
          <w:iCs/>
        </w:rPr>
        <w:t>rakstiski jānosūta pašvaldībai informāciju par Paredzēto darbību, aprakstot paredzētās darbības ieceri.</w:t>
      </w:r>
    </w:p>
    <w:p w:rsidR="00351A06" w:rsidRPr="0012377D" w:rsidP="00351A06" w14:paraId="1C9B9C47" w14:textId="77777777">
      <w:pPr>
        <w:pStyle w:val="NormalWeb"/>
        <w:numPr>
          <w:ilvl w:val="0"/>
          <w:numId w:val="16"/>
        </w:numPr>
        <w:spacing w:before="120" w:beforeAutospacing="0" w:after="120" w:afterAutospacing="0"/>
        <w:jc w:val="both"/>
      </w:pPr>
      <w:r w:rsidRPr="0012377D">
        <w:t xml:space="preserve">Ņemot vērā minēto, Birojs atzīst, ka Lēmumā Nr. 5-02/1 ir nepieciešams veikt grozījumus attiecībā uz Darbības vietu un noteikt nepieciešamos sabiedrības informēšanas pasākumus. </w:t>
      </w:r>
    </w:p>
    <w:p w:rsidR="00351A06" w:rsidRPr="0012377D" w:rsidP="00351A06" w14:paraId="18C717BA" w14:textId="77777777">
      <w:pPr>
        <w:widowControl/>
        <w:tabs>
          <w:tab w:val="left" w:pos="284"/>
        </w:tabs>
        <w:spacing w:before="120" w:after="120" w:line="240" w:lineRule="auto"/>
        <w:jc w:val="both"/>
        <w:rPr>
          <w:rFonts w:ascii="Times New Roman" w:eastAsia="Times New Roman" w:hAnsi="Times New Roman"/>
          <w:b/>
          <w:bCs/>
          <w:sz w:val="24"/>
          <w:szCs w:val="24"/>
          <w:lang w:val="lv-LV"/>
        </w:rPr>
      </w:pPr>
      <w:r w:rsidRPr="0012377D">
        <w:rPr>
          <w:rFonts w:ascii="Times New Roman" w:eastAsia="Times New Roman" w:hAnsi="Times New Roman"/>
          <w:b/>
          <w:bCs/>
          <w:sz w:val="24"/>
          <w:szCs w:val="24"/>
          <w:lang w:val="lv-LV"/>
        </w:rPr>
        <w:t>Ņemot vērā visu iepriekš minēto un pamatojoties uz Novērtējuma likuma 6. panta pirmo daļu, 6.</w:t>
      </w:r>
      <w:r w:rsidRPr="0012377D">
        <w:rPr>
          <w:rFonts w:ascii="Times New Roman" w:eastAsia="Times New Roman" w:hAnsi="Times New Roman"/>
          <w:b/>
          <w:bCs/>
          <w:sz w:val="24"/>
          <w:szCs w:val="24"/>
          <w:vertAlign w:val="superscript"/>
          <w:lang w:val="lv-LV"/>
        </w:rPr>
        <w:t>1</w:t>
      </w:r>
      <w:r w:rsidRPr="0012377D">
        <w:rPr>
          <w:rFonts w:ascii="Times New Roman" w:eastAsia="Times New Roman" w:hAnsi="Times New Roman"/>
          <w:b/>
          <w:bCs/>
          <w:sz w:val="24"/>
          <w:szCs w:val="24"/>
          <w:lang w:val="lv-LV"/>
        </w:rPr>
        <w:t xml:space="preserve"> panta otro daļu un 14</w:t>
      </w:r>
      <w:r w:rsidRPr="0012377D">
        <w:rPr>
          <w:rFonts w:ascii="Times New Roman" w:eastAsia="Times New Roman" w:hAnsi="Times New Roman"/>
          <w:b/>
          <w:bCs/>
          <w:sz w:val="24"/>
          <w:szCs w:val="24"/>
          <w:vertAlign w:val="superscript"/>
          <w:lang w:val="lv-LV"/>
        </w:rPr>
        <w:t>1</w:t>
      </w:r>
      <w:r w:rsidRPr="0012377D">
        <w:rPr>
          <w:rFonts w:ascii="Times New Roman" w:eastAsia="Times New Roman" w:hAnsi="Times New Roman"/>
          <w:b/>
          <w:bCs/>
          <w:sz w:val="24"/>
          <w:szCs w:val="24"/>
          <w:lang w:val="lv-LV"/>
        </w:rPr>
        <w:t>. panta 1.</w:t>
      </w:r>
      <w:r w:rsidRPr="0012377D">
        <w:rPr>
          <w:rFonts w:ascii="Times New Roman" w:eastAsia="Times New Roman" w:hAnsi="Times New Roman"/>
          <w:b/>
          <w:bCs/>
          <w:sz w:val="24"/>
          <w:szCs w:val="24"/>
          <w:vertAlign w:val="superscript"/>
          <w:lang w:val="lv-LV"/>
        </w:rPr>
        <w:t>1</w:t>
      </w:r>
      <w:r w:rsidRPr="0012377D">
        <w:rPr>
          <w:rFonts w:ascii="Times New Roman" w:eastAsia="Times New Roman" w:hAnsi="Times New Roman"/>
          <w:b/>
          <w:bCs/>
          <w:sz w:val="24"/>
          <w:szCs w:val="24"/>
          <w:lang w:val="lv-LV"/>
        </w:rPr>
        <w:t xml:space="preserve"> daļu, 15. pantu un </w:t>
      </w:r>
      <w:r w:rsidRPr="0012377D">
        <w:rPr>
          <w:rFonts w:ascii="Times New Roman" w:eastAsia="Times New Roman" w:hAnsi="Times New Roman"/>
          <w:b/>
          <w:bCs/>
          <w:sz w:val="24"/>
          <w:szCs w:val="24"/>
          <w:lang w:val="lv-LV" w:eastAsia="en-GB"/>
        </w:rPr>
        <w:t xml:space="preserve">Noteikumu Nr.18 22. - 28. punktu </w:t>
      </w:r>
      <w:r w:rsidRPr="0012377D">
        <w:rPr>
          <w:rFonts w:ascii="Times New Roman" w:eastAsia="Times New Roman" w:hAnsi="Times New Roman"/>
          <w:b/>
          <w:bCs/>
          <w:sz w:val="24"/>
          <w:szCs w:val="24"/>
          <w:lang w:val="lv-LV"/>
        </w:rPr>
        <w:t xml:space="preserve">Birojs nolemj: </w:t>
      </w:r>
    </w:p>
    <w:p w:rsidR="00351A06" w:rsidRPr="0012377D" w:rsidP="00351A06" w14:paraId="28E5FC6F" w14:textId="77777777">
      <w:pPr>
        <w:pStyle w:val="ListParagraph"/>
        <w:numPr>
          <w:ilvl w:val="0"/>
          <w:numId w:val="17"/>
        </w:numPr>
        <w:autoSpaceDE w:val="0"/>
        <w:autoSpaceDN w:val="0"/>
        <w:adjustRightInd w:val="0"/>
        <w:spacing w:before="120" w:after="120" w:line="240" w:lineRule="auto"/>
        <w:ind w:left="284" w:hanging="284"/>
        <w:contextualSpacing w:val="0"/>
        <w:jc w:val="both"/>
        <w:rPr>
          <w:rFonts w:ascii="Times New Roman" w:eastAsia="Times New Roman" w:hAnsi="Times New Roman"/>
          <w:b/>
          <w:sz w:val="24"/>
          <w:szCs w:val="24"/>
          <w:lang w:val="lv-LV"/>
        </w:rPr>
      </w:pPr>
      <w:r w:rsidRPr="0012377D">
        <w:rPr>
          <w:rFonts w:ascii="Times New Roman" w:eastAsia="Times New Roman" w:hAnsi="Times New Roman"/>
          <w:b/>
          <w:sz w:val="24"/>
          <w:szCs w:val="24"/>
          <w:lang w:val="lv-LV"/>
        </w:rPr>
        <w:t xml:space="preserve"> 2021. gada 4. janvāra Lēmumā Nr. 5-02/1 veikt grozījumus, izsakot </w:t>
      </w:r>
      <w:r w:rsidRPr="0012377D">
        <w:rPr>
          <w:rFonts w:ascii="Times New Roman" w:eastAsia="Times New Roman" w:hAnsi="Times New Roman"/>
          <w:b/>
          <w:i/>
          <w:iCs/>
          <w:sz w:val="24"/>
          <w:szCs w:val="24"/>
          <w:lang w:val="lv-LV"/>
        </w:rPr>
        <w:t>“Paredzētās darbības iespējamā norises vieta”</w:t>
      </w:r>
      <w:r w:rsidRPr="0012377D">
        <w:rPr>
          <w:rFonts w:ascii="Times New Roman" w:eastAsia="Times New Roman" w:hAnsi="Times New Roman"/>
          <w:b/>
          <w:sz w:val="24"/>
          <w:szCs w:val="24"/>
          <w:lang w:val="lv-LV"/>
        </w:rPr>
        <w:t xml:space="preserve"> jaunā redakcijā:</w:t>
      </w:r>
    </w:p>
    <w:p w:rsidR="00351A06" w:rsidRPr="0012377D" w:rsidP="00351A06" w14:paraId="1A11FB34" w14:textId="77777777">
      <w:pPr>
        <w:autoSpaceDE w:val="0"/>
        <w:autoSpaceDN w:val="0"/>
        <w:adjustRightInd w:val="0"/>
        <w:spacing w:before="120" w:after="120" w:line="240" w:lineRule="auto"/>
        <w:jc w:val="both"/>
        <w:rPr>
          <w:rFonts w:ascii="Times New Roman" w:eastAsia="Times New Roman" w:hAnsi="Times New Roman"/>
          <w:i/>
          <w:iCs/>
          <w:color w:val="000000"/>
          <w:spacing w:val="-4"/>
          <w:sz w:val="24"/>
          <w:szCs w:val="24"/>
          <w:lang w:val="lv-LV"/>
        </w:rPr>
      </w:pPr>
      <w:r w:rsidRPr="0012377D">
        <w:rPr>
          <w:rFonts w:ascii="Times New Roman" w:eastAsia="Times New Roman" w:hAnsi="Times New Roman"/>
          <w:i/>
          <w:iCs/>
          <w:sz w:val="24"/>
          <w:szCs w:val="24"/>
          <w:lang w:val="lv-LV"/>
        </w:rPr>
        <w:t>“</w:t>
      </w:r>
      <w:r w:rsidRPr="0012377D">
        <w:rPr>
          <w:rFonts w:ascii="Times New Roman" w:eastAsia="Times New Roman" w:hAnsi="Times New Roman"/>
          <w:b/>
          <w:bCs/>
          <w:i/>
          <w:iCs/>
          <w:sz w:val="24"/>
          <w:szCs w:val="24"/>
          <w:lang w:val="lv-LV"/>
        </w:rPr>
        <w:t xml:space="preserve">Paredzētās darbības iespējamā norises vieta: </w:t>
      </w:r>
      <w:r w:rsidRPr="0012377D">
        <w:rPr>
          <w:rFonts w:ascii="Times New Roman" w:hAnsi="Times New Roman"/>
          <w:i/>
          <w:iCs/>
          <w:sz w:val="24"/>
          <w:szCs w:val="24"/>
          <w:lang w:val="lv-LV"/>
        </w:rPr>
        <w:t xml:space="preserve">Ropažu novads, nekustamais īpašums “Tūrkalne” (kadastra Nr.8084 017 0040, zemes vienība ar kadastra apzīmējumu 8084 017 </w:t>
      </w:r>
      <w:r w:rsidRPr="0012377D">
        <w:rPr>
          <w:rFonts w:ascii="Times New Roman" w:hAnsi="Times New Roman"/>
          <w:i/>
          <w:iCs/>
          <w:sz w:val="24"/>
          <w:szCs w:val="24"/>
          <w:lang w:val="lv-LV"/>
        </w:rPr>
        <w:t>0101), nekustamais īpašums “Sināti” (kadastra Nr.8084 017 0010, zemes vienības ar kadastra apzīmējumiem 8084 017 0026, 8084 017 0010, 8084 017 0027 un 8084 017 0032), nekustamais īpašums “Daces” (kad. Nr.8084 017 0011, zemes vienība ar kadastra apzīmējumu 8084 017 0011), nekustamais īpašums “Vecpurmalas” (kadastra Nr.8084 017 0023) zemes vienība ar kadastra apzīmējumu 8084 017 0023), nekustamais īpašums “Robežnieki” (kadastra Nr.8084 017 0052, zemes vienība ar kadastra apzīmējumu 8084 017 0052), nekustamais īpašums “Brekšutakas” (kadastra Nr.8084 017 0105, zemes vienība ar kadastra apzīmējumu 8084 017 0018),  nekustamais īpašums “Akmenāji” (kadastra Nr. 8084 017 0042, zemes vienība ar kadastra apzīmējumu 8084 017 0042 un 8084 017 0044), nekustamais īpašums “Krūmiņi” (kadastra Nr. 8084 017 0075, zemes vienība ar kadastra apzīmējumu 8084 017 0075 un 8084 017 0077)</w:t>
      </w:r>
      <w:r w:rsidRPr="0012377D">
        <w:rPr>
          <w:rFonts w:ascii="Times New Roman" w:eastAsia="Times New Roman" w:hAnsi="Times New Roman"/>
          <w:i/>
          <w:iCs/>
          <w:sz w:val="24"/>
          <w:szCs w:val="24"/>
          <w:shd w:val="clear" w:color="auto" w:fill="FFFFFF"/>
          <w:lang w:val="lv-LV"/>
        </w:rPr>
        <w:t xml:space="preserve"> un </w:t>
      </w:r>
      <w:r w:rsidRPr="0012377D">
        <w:rPr>
          <w:rFonts w:ascii="Times New Roman" w:hAnsi="Times New Roman"/>
          <w:i/>
          <w:iCs/>
          <w:sz w:val="24"/>
          <w:szCs w:val="24"/>
          <w:lang w:val="lv-LV"/>
        </w:rPr>
        <w:t>nekustamais īpašums “Ceļš” (kadastra Nr. 8084 017 0106, zemes vienība ar kadastra apzīmējumu 8084 017 0106)</w:t>
      </w:r>
      <w:r w:rsidRPr="0012377D">
        <w:rPr>
          <w:rFonts w:ascii="Times New Roman" w:eastAsia="Times New Roman" w:hAnsi="Times New Roman"/>
          <w:i/>
          <w:iCs/>
          <w:sz w:val="24"/>
          <w:szCs w:val="24"/>
          <w:shd w:val="clear" w:color="auto" w:fill="FFFFFF"/>
          <w:lang w:val="lv-LV"/>
        </w:rPr>
        <w:t xml:space="preserve">  (turpmāk – Darbības vieta)</w:t>
      </w:r>
      <w:r w:rsidRPr="0012377D">
        <w:rPr>
          <w:rFonts w:ascii="Times New Roman" w:eastAsia="Times New Roman" w:hAnsi="Times New Roman"/>
          <w:bCs/>
          <w:i/>
          <w:iCs/>
          <w:sz w:val="24"/>
          <w:szCs w:val="24"/>
          <w:lang w:val="lv-LV"/>
        </w:rPr>
        <w:t>.”</w:t>
      </w:r>
    </w:p>
    <w:p w:rsidR="00351A06" w:rsidRPr="0012377D" w:rsidP="00351A06" w14:paraId="3EDEBB4E" w14:textId="77777777">
      <w:pPr>
        <w:pStyle w:val="ListParagraph"/>
        <w:numPr>
          <w:ilvl w:val="0"/>
          <w:numId w:val="17"/>
        </w:numPr>
        <w:autoSpaceDE w:val="0"/>
        <w:autoSpaceDN w:val="0"/>
        <w:adjustRightInd w:val="0"/>
        <w:spacing w:before="120" w:after="120" w:line="240" w:lineRule="auto"/>
        <w:ind w:left="284" w:hanging="284"/>
        <w:contextualSpacing w:val="0"/>
        <w:jc w:val="both"/>
        <w:rPr>
          <w:rFonts w:ascii="Times New Roman" w:eastAsia="Times New Roman" w:hAnsi="Times New Roman"/>
          <w:b/>
          <w:sz w:val="24"/>
          <w:szCs w:val="24"/>
          <w:lang w:val="lv-LV"/>
        </w:rPr>
      </w:pPr>
      <w:r w:rsidRPr="0012377D">
        <w:rPr>
          <w:rFonts w:ascii="Times New Roman" w:eastAsia="Times New Roman" w:hAnsi="Times New Roman"/>
          <w:b/>
          <w:sz w:val="24"/>
          <w:szCs w:val="24"/>
          <w:lang w:val="lv-LV"/>
        </w:rPr>
        <w:t>Uzdodot Ierosinātājai nodrošināt individuālu paziņojumu nosūtīšanu zemes vienības ar kadastra apzīmējumu 80840170047 īpašniekam (valdītājam).</w:t>
      </w:r>
    </w:p>
    <w:p w:rsidR="00351A06" w:rsidRPr="0012377D" w:rsidP="00351A06" w14:paraId="01C468C5" w14:textId="77777777">
      <w:pPr>
        <w:pStyle w:val="ListParagraph"/>
        <w:numPr>
          <w:ilvl w:val="0"/>
          <w:numId w:val="17"/>
        </w:numPr>
        <w:autoSpaceDE w:val="0"/>
        <w:autoSpaceDN w:val="0"/>
        <w:adjustRightInd w:val="0"/>
        <w:spacing w:before="120" w:after="120" w:line="240" w:lineRule="auto"/>
        <w:ind w:left="284" w:hanging="284"/>
        <w:contextualSpacing w:val="0"/>
        <w:jc w:val="both"/>
        <w:rPr>
          <w:rFonts w:ascii="Times New Roman" w:eastAsia="Times New Roman" w:hAnsi="Times New Roman"/>
          <w:b/>
          <w:sz w:val="24"/>
          <w:szCs w:val="24"/>
          <w:lang w:val="lv-LV"/>
        </w:rPr>
      </w:pPr>
      <w:r w:rsidRPr="0012377D">
        <w:rPr>
          <w:rFonts w:ascii="Times New Roman" w:eastAsia="Times New Roman" w:hAnsi="Times New Roman"/>
          <w:b/>
          <w:sz w:val="24"/>
          <w:szCs w:val="24"/>
          <w:lang w:val="lv-LV"/>
        </w:rPr>
        <w:t>Informēšanas pasākumus par Paredzēto darbību veikt Novērtējuma likuma 15. panta pirmās daļas un Noteikumu Nr. 18 22.2. punktā paredzētā veidā, ievērojot šo noteikumu 24. un 26. punktā noteikto, nodrošinot īpašniekam (valdītājam) viedokļa sniegšanai atbilstošus procesuālos termiņus, kā arī iespēju attālināti iepazīties ar videoprezentāciju, uzdot jautājumus un iesniegt rakstveida priekšlikumus, kā arī saņemt atbildes līdzvērtīgā apjomā un veidā, kā tas ticis darīts laika posmā no 2021. gada 19. februāra līdz 2021. gada 11. martam.</w:t>
      </w:r>
    </w:p>
    <w:p w:rsidR="00351A06" w:rsidRPr="0012377D" w:rsidP="00351A06" w14:paraId="66F40157" w14:textId="77777777">
      <w:pPr>
        <w:pStyle w:val="ListParagraph"/>
        <w:numPr>
          <w:ilvl w:val="0"/>
          <w:numId w:val="17"/>
        </w:numPr>
        <w:autoSpaceDE w:val="0"/>
        <w:autoSpaceDN w:val="0"/>
        <w:adjustRightInd w:val="0"/>
        <w:spacing w:before="120" w:after="120" w:line="240" w:lineRule="auto"/>
        <w:ind w:left="284" w:hanging="284"/>
        <w:contextualSpacing w:val="0"/>
        <w:jc w:val="both"/>
        <w:rPr>
          <w:rFonts w:ascii="Times New Roman" w:eastAsia="Times New Roman" w:hAnsi="Times New Roman"/>
          <w:b/>
          <w:sz w:val="24"/>
          <w:szCs w:val="24"/>
          <w:lang w:val="lv-LV" w:eastAsia="en-GB"/>
        </w:rPr>
      </w:pPr>
      <w:r w:rsidRPr="0012377D">
        <w:rPr>
          <w:rFonts w:ascii="Times New Roman" w:eastAsia="Times New Roman" w:hAnsi="Times New Roman"/>
          <w:b/>
          <w:sz w:val="24"/>
          <w:szCs w:val="24"/>
          <w:lang w:val="lv-LV"/>
        </w:rPr>
        <w:t>Atbilstoši Noteikumu Nr. 18 28. punktam iesniegt Birojā apkopojumu par veiktajiem</w:t>
      </w:r>
      <w:r w:rsidRPr="0012377D">
        <w:rPr>
          <w:rFonts w:ascii="Times New Roman" w:eastAsia="Times New Roman" w:hAnsi="Times New Roman"/>
          <w:b/>
          <w:sz w:val="24"/>
          <w:szCs w:val="24"/>
          <w:lang w:val="lv-LV" w:eastAsia="en-GB"/>
        </w:rPr>
        <w:t xml:space="preserve">  individuālās informēšanas pasākumiem un tās rezultātiem trīs mēnešu laikā no šā lēmuma spēkā stāšanās dienas.</w:t>
      </w:r>
    </w:p>
    <w:p w:rsidR="00351A06" w:rsidRPr="0012377D" w:rsidP="00351A06" w14:paraId="39E45427" w14:textId="77777777">
      <w:pPr>
        <w:widowControl/>
        <w:spacing w:before="120" w:after="120" w:line="240" w:lineRule="auto"/>
        <w:ind w:left="360"/>
        <w:jc w:val="both"/>
        <w:rPr>
          <w:rFonts w:ascii="Times New Roman" w:eastAsia="Times New Roman" w:hAnsi="Times New Roman"/>
          <w:i/>
          <w:iCs/>
          <w:sz w:val="24"/>
          <w:szCs w:val="24"/>
          <w:shd w:val="clear" w:color="auto" w:fill="FFFFFF"/>
          <w:lang w:val="lv-LV"/>
        </w:rPr>
      </w:pPr>
    </w:p>
    <w:p w:rsidR="00351A06" w:rsidRPr="0012377D" w:rsidP="00351A06" w14:paraId="077D3C14" w14:textId="77777777">
      <w:pPr>
        <w:widowControl/>
        <w:spacing w:before="120" w:after="120" w:line="240" w:lineRule="auto"/>
        <w:jc w:val="both"/>
        <w:rPr>
          <w:rFonts w:ascii="Times New Roman" w:eastAsia="Times New Roman" w:hAnsi="Times New Roman"/>
          <w:b/>
          <w:sz w:val="24"/>
          <w:szCs w:val="24"/>
          <w:lang w:val="lv-LV"/>
        </w:rPr>
      </w:pPr>
      <w:r w:rsidRPr="0012377D">
        <w:rPr>
          <w:rFonts w:ascii="Times New Roman" w:eastAsia="Times New Roman" w:hAnsi="Times New Roman"/>
          <w:sz w:val="24"/>
          <w:szCs w:val="24"/>
          <w:lang w:val="lv-LV" w:eastAsia="lv-LV"/>
        </w:rPr>
        <w:t xml:space="preserve">Šis </w:t>
      </w:r>
      <w:smartTag w:uri="schemas-tilde-lv/tildestengine" w:element="veidnes">
        <w:smartTagPr>
          <w:attr w:name="baseform" w:val="Lēmums"/>
          <w:attr w:name="id" w:val="-1"/>
          <w:attr w:name="text" w:val="Lēmums"/>
        </w:smartTagPr>
        <w:r w:rsidRPr="0012377D">
          <w:rPr>
            <w:rFonts w:ascii="Times New Roman" w:eastAsia="Times New Roman" w:hAnsi="Times New Roman"/>
            <w:sz w:val="24"/>
            <w:szCs w:val="24"/>
            <w:lang w:val="lv-LV" w:eastAsia="lv-LV"/>
          </w:rPr>
          <w:t>lēmums</w:t>
        </w:r>
      </w:smartTag>
      <w:r w:rsidRPr="0012377D">
        <w:rPr>
          <w:rFonts w:ascii="Times New Roman" w:eastAsia="Times New Roman" w:hAnsi="Times New Roman"/>
          <w:sz w:val="24"/>
          <w:szCs w:val="24"/>
          <w:lang w:val="lv-LV" w:eastAsia="lv-LV"/>
        </w:rPr>
        <w:t xml:space="preserve"> ir Biroja 2021. gada 4. janvāra lēmuma </w:t>
      </w:r>
      <w:r w:rsidRPr="0012377D">
        <w:rPr>
          <w:rFonts w:ascii="Times New Roman" w:eastAsia="Times New Roman" w:hAnsi="Times New Roman"/>
          <w:sz w:val="24"/>
          <w:szCs w:val="24"/>
          <w:lang w:val="lv-LV"/>
        </w:rPr>
        <w:t>Nr. 5-02/1 neatņemama sastāvdaļa.</w:t>
      </w:r>
    </w:p>
    <w:p w:rsidR="00351A06" w:rsidRPr="0012377D" w:rsidP="00351A06" w14:paraId="6A7691EC" w14:textId="77777777">
      <w:pPr>
        <w:widowControl/>
        <w:spacing w:before="120" w:after="120" w:line="240" w:lineRule="auto"/>
        <w:jc w:val="both"/>
        <w:rPr>
          <w:rFonts w:ascii="Times New Roman" w:hAnsi="Times New Roman"/>
          <w:b/>
          <w:bCs/>
          <w:sz w:val="24"/>
          <w:szCs w:val="24"/>
          <w:lang w:val="lv-LV"/>
        </w:rPr>
      </w:pPr>
    </w:p>
    <w:p w:rsidR="00351A06" w:rsidRPr="0012377D" w:rsidP="00351A06" w14:paraId="61C8EF96" w14:textId="77777777">
      <w:pPr>
        <w:widowControl/>
        <w:spacing w:before="120" w:after="120" w:line="240" w:lineRule="auto"/>
        <w:jc w:val="both"/>
        <w:rPr>
          <w:rFonts w:ascii="Times New Roman" w:hAnsi="Times New Roman"/>
          <w:sz w:val="24"/>
          <w:szCs w:val="24"/>
          <w:lang w:val="lv-LV"/>
        </w:rPr>
      </w:pPr>
      <w:r w:rsidRPr="0012377D">
        <w:rPr>
          <w:rFonts w:ascii="Times New Roman" w:hAnsi="Times New Roman"/>
          <w:b/>
          <w:bCs/>
          <w:sz w:val="24"/>
          <w:szCs w:val="24"/>
          <w:lang w:val="lv-LV"/>
        </w:rPr>
        <w:t>Lēmuma apstrīdēšana:</w:t>
      </w:r>
    </w:p>
    <w:p w:rsidR="00351A06" w:rsidRPr="0012377D" w:rsidP="00351A06" w14:paraId="749C3A0F" w14:textId="77777777">
      <w:pPr>
        <w:widowControl/>
        <w:tabs>
          <w:tab w:val="left" w:pos="5400"/>
        </w:tabs>
        <w:suppressAutoHyphens/>
        <w:autoSpaceDN w:val="0"/>
        <w:spacing w:before="240" w:after="240" w:line="240" w:lineRule="auto"/>
        <w:jc w:val="both"/>
        <w:textAlignment w:val="baseline"/>
        <w:rPr>
          <w:rFonts w:ascii="Times New Roman" w:hAnsi="Times New Roman"/>
          <w:kern w:val="3"/>
          <w:sz w:val="24"/>
          <w:szCs w:val="24"/>
          <w:lang w:val="lv-LV"/>
        </w:rPr>
      </w:pPr>
      <w:r w:rsidRPr="0012377D">
        <w:rPr>
          <w:rFonts w:ascii="Times New Roman" w:hAnsi="Times New Roman" w:eastAsiaTheme="minorHAnsi"/>
          <w:sz w:val="24"/>
          <w:szCs w:val="24"/>
          <w:lang w:val="lv-LV"/>
        </w:rPr>
        <w:t>Atbilstoši Novērtējuma likuma 14.</w:t>
      </w:r>
      <w:r w:rsidRPr="0012377D">
        <w:rPr>
          <w:rFonts w:ascii="Times New Roman" w:hAnsi="Times New Roman" w:eastAsiaTheme="minorHAnsi"/>
          <w:sz w:val="24"/>
          <w:szCs w:val="24"/>
          <w:vertAlign w:val="superscript"/>
          <w:lang w:val="lv-LV"/>
        </w:rPr>
        <w:t>1</w:t>
      </w:r>
      <w:r w:rsidRPr="0012377D">
        <w:rPr>
          <w:rFonts w:ascii="Times New Roman" w:hAnsi="Times New Roman" w:eastAsiaTheme="minorHAnsi"/>
          <w:sz w:val="24"/>
          <w:szCs w:val="24"/>
          <w:lang w:val="lv-LV"/>
        </w:rPr>
        <w:t xml:space="preserve"> panta otrajai daļai un Administratīvā procesa likuma (turpmāk – APL) </w:t>
      </w:r>
      <w:r w:rsidRPr="0012377D">
        <w:rPr>
          <w:rFonts w:ascii="Times New Roman" w:hAnsi="Times New Roman" w:eastAsiaTheme="minorHAnsi"/>
          <w:kern w:val="3"/>
          <w:sz w:val="24"/>
          <w:szCs w:val="24"/>
          <w:lang w:val="lv-LV"/>
        </w:rPr>
        <w:t>189. panta pirmajai daļai</w:t>
      </w:r>
      <w:r w:rsidRPr="0012377D">
        <w:rPr>
          <w:rFonts w:ascii="Times New Roman" w:hAnsi="Times New Roman" w:eastAsiaTheme="minorHAnsi"/>
          <w:sz w:val="24"/>
          <w:szCs w:val="24"/>
          <w:lang w:val="lv-LV"/>
        </w:rPr>
        <w:t xml:space="preserve"> </w:t>
      </w:r>
      <w:r w:rsidRPr="0012377D">
        <w:rPr>
          <w:rFonts w:ascii="Times New Roman" w:hAnsi="Times New Roman"/>
          <w:kern w:val="3"/>
          <w:sz w:val="24"/>
          <w:szCs w:val="24"/>
          <w:lang w:val="lv-LV"/>
        </w:rPr>
        <w:t>šo Biroja lēmumu var pārsūdzēt viena mēneša laikā no tā spēkā stāšanās dienas, iesniedzot sūdzību Administratīvās rajona tiesas atbilstīgajā tiesu namā (APL 189. panta pirmā daļa) pēc pieteicēja adreses (juridiskā persona — pēc juridiskās adreses). Lēmums stājas spēkā ar brīdi, kad tas paziņots adresātam (APL 70. panta pirmā daļa).</w:t>
      </w:r>
    </w:p>
    <w:p w:rsidR="00351A06" w:rsidRPr="0012377D" w:rsidP="00351A06" w14:paraId="286C5939" w14:textId="77777777">
      <w:pPr>
        <w:widowControl/>
        <w:spacing w:after="0" w:line="240" w:lineRule="auto"/>
        <w:ind w:left="-142" w:firstLine="142"/>
        <w:rPr>
          <w:rFonts w:ascii="Times New Roman" w:eastAsia="Times New Roman" w:hAnsi="Times New Roman"/>
          <w:sz w:val="24"/>
          <w:szCs w:val="24"/>
          <w:lang w:val="lv-LV"/>
        </w:rPr>
      </w:pPr>
      <w:r w:rsidRPr="0012377D">
        <w:rPr>
          <w:rFonts w:ascii="Times New Roman" w:eastAsia="Times New Roman" w:hAnsi="Times New Roman"/>
          <w:sz w:val="24"/>
          <w:szCs w:val="24"/>
          <w:lang w:val="lv-LV"/>
        </w:rPr>
        <w:t xml:space="preserve">Direktore </w:t>
      </w:r>
      <w:r w:rsidRPr="0012377D">
        <w:rPr>
          <w:rFonts w:ascii="Times New Roman" w:eastAsia="Times New Roman" w:hAnsi="Times New Roman"/>
          <w:sz w:val="24"/>
          <w:szCs w:val="24"/>
          <w:lang w:val="lv-LV"/>
        </w:rPr>
        <w:tab/>
      </w:r>
      <w:r w:rsidRPr="0012377D">
        <w:rPr>
          <w:rFonts w:ascii="Times New Roman" w:eastAsia="Times New Roman" w:hAnsi="Times New Roman"/>
          <w:sz w:val="24"/>
          <w:szCs w:val="24"/>
          <w:lang w:val="lv-LV"/>
        </w:rPr>
        <w:tab/>
        <w:t xml:space="preserve">                        </w:t>
      </w:r>
      <w:r w:rsidRPr="0012377D">
        <w:rPr>
          <w:rFonts w:ascii="Times New Roman" w:eastAsia="Times New Roman" w:hAnsi="Times New Roman"/>
          <w:sz w:val="24"/>
          <w:szCs w:val="24"/>
          <w:lang w:val="lv-LV"/>
        </w:rPr>
        <w:tab/>
        <w:t xml:space="preserve"> (</w:t>
      </w:r>
      <w:r w:rsidRPr="0012377D">
        <w:rPr>
          <w:rFonts w:ascii="Times New Roman" w:eastAsia="Times New Roman" w:hAnsi="Times New Roman"/>
          <w:i/>
          <w:iCs/>
          <w:sz w:val="24"/>
          <w:szCs w:val="24"/>
          <w:lang w:val="lv-LV"/>
        </w:rPr>
        <w:t>paraksts*</w:t>
      </w:r>
      <w:r w:rsidRPr="0012377D">
        <w:rPr>
          <w:rFonts w:ascii="Times New Roman" w:eastAsia="Times New Roman" w:hAnsi="Times New Roman"/>
          <w:sz w:val="24"/>
          <w:szCs w:val="24"/>
          <w:lang w:val="lv-LV"/>
        </w:rPr>
        <w:t xml:space="preserve">)  </w:t>
      </w:r>
      <w:r w:rsidRPr="0012377D">
        <w:rPr>
          <w:rFonts w:ascii="Times New Roman" w:eastAsia="Times New Roman" w:hAnsi="Times New Roman"/>
          <w:sz w:val="24"/>
          <w:szCs w:val="24"/>
          <w:lang w:val="lv-LV"/>
        </w:rPr>
        <w:tab/>
      </w:r>
      <w:r w:rsidRPr="0012377D">
        <w:rPr>
          <w:rFonts w:ascii="Times New Roman" w:eastAsia="Times New Roman" w:hAnsi="Times New Roman"/>
          <w:sz w:val="24"/>
          <w:szCs w:val="24"/>
          <w:lang w:val="lv-LV"/>
        </w:rPr>
        <w:tab/>
        <w:t>D. Avdejanova</w:t>
      </w:r>
    </w:p>
    <w:p w:rsidR="00351A06" w:rsidRPr="0012377D" w:rsidP="00351A06" w14:paraId="5FA79847" w14:textId="77777777">
      <w:pPr>
        <w:widowControl/>
        <w:spacing w:after="0" w:line="240" w:lineRule="auto"/>
        <w:ind w:left="-142" w:firstLine="142"/>
        <w:jc w:val="both"/>
        <w:rPr>
          <w:rFonts w:ascii="Times New Roman" w:eastAsia="Times New Roman" w:hAnsi="Times New Roman"/>
          <w:color w:val="000000"/>
          <w:lang w:val="lv-LV"/>
        </w:rPr>
      </w:pPr>
    </w:p>
    <w:p w:rsidR="00351A06" w:rsidRPr="0012377D" w:rsidP="00351A06" w14:paraId="3B89BAF4" w14:textId="77777777">
      <w:pPr>
        <w:widowControl/>
        <w:spacing w:after="0" w:line="240" w:lineRule="auto"/>
        <w:ind w:left="-142" w:firstLine="142"/>
        <w:jc w:val="both"/>
        <w:rPr>
          <w:rFonts w:ascii="Times New Roman" w:eastAsia="Times New Roman" w:hAnsi="Times New Roman"/>
          <w:color w:val="000000"/>
          <w:sz w:val="24"/>
          <w:szCs w:val="24"/>
          <w:lang w:val="lv-LV"/>
        </w:rPr>
      </w:pPr>
    </w:p>
    <w:p w:rsidR="00351A06" w:rsidRPr="0012377D" w:rsidP="00351A06" w14:paraId="2DD5F058" w14:textId="77777777">
      <w:pPr>
        <w:widowControl/>
        <w:spacing w:after="0" w:line="240" w:lineRule="auto"/>
        <w:ind w:left="-142" w:firstLine="142"/>
        <w:jc w:val="both"/>
        <w:rPr>
          <w:rFonts w:ascii="Times New Roman" w:eastAsia="Times New Roman" w:hAnsi="Times New Roman"/>
          <w:color w:val="000000"/>
          <w:sz w:val="24"/>
          <w:szCs w:val="24"/>
          <w:lang w:val="lv-LV"/>
        </w:rPr>
      </w:pPr>
      <w:r w:rsidRPr="0012377D">
        <w:rPr>
          <w:rFonts w:ascii="Times New Roman" w:eastAsia="Times New Roman" w:hAnsi="Times New Roman"/>
          <w:color w:val="000000"/>
          <w:sz w:val="24"/>
          <w:szCs w:val="24"/>
          <w:lang w:val="lv-LV"/>
        </w:rPr>
        <w:t>*</w:t>
      </w:r>
      <w:r w:rsidRPr="0012377D">
        <w:rPr>
          <w:rFonts w:ascii="Times New Roman" w:eastAsia="Times New Roman" w:hAnsi="Times New Roman"/>
          <w:i/>
          <w:iCs/>
          <w:color w:val="000000"/>
          <w:sz w:val="24"/>
          <w:szCs w:val="24"/>
          <w:lang w:val="lv-LV"/>
        </w:rPr>
        <w:t>Dokuments ir parakstīts ar drošu elektronisko parakstu</w:t>
      </w:r>
    </w:p>
    <w:p w:rsidR="00351A06" w:rsidRPr="0012377D" w:rsidP="00351A06" w14:paraId="0372214F" w14:textId="77777777">
      <w:pPr>
        <w:widowControl/>
        <w:spacing w:after="0" w:line="240" w:lineRule="auto"/>
        <w:ind w:left="-142" w:firstLine="142"/>
        <w:jc w:val="both"/>
        <w:rPr>
          <w:rFonts w:ascii="Times New Roman" w:eastAsia="Times New Roman" w:hAnsi="Times New Roman"/>
          <w:sz w:val="24"/>
          <w:szCs w:val="24"/>
          <w:lang w:val="lv-LV"/>
        </w:rPr>
      </w:pPr>
    </w:p>
    <w:p w:rsidR="00351A06" w:rsidRPr="0012377D" w:rsidP="00351A06" w14:paraId="4C749629" w14:textId="77777777">
      <w:pPr>
        <w:widowControl/>
        <w:spacing w:after="0" w:line="240" w:lineRule="auto"/>
        <w:ind w:left="-142" w:firstLine="142"/>
        <w:jc w:val="both"/>
        <w:rPr>
          <w:rFonts w:ascii="Times New Roman" w:eastAsia="Times New Roman" w:hAnsi="Times New Roman"/>
          <w:sz w:val="20"/>
          <w:szCs w:val="20"/>
          <w:lang w:val="lv-LV"/>
        </w:rPr>
      </w:pPr>
    </w:p>
    <w:p w:rsidR="00351A06" w:rsidRPr="0012377D" w:rsidP="00351A06" w14:paraId="2FB18128" w14:textId="77777777">
      <w:pPr>
        <w:widowControl/>
        <w:spacing w:after="0" w:line="240" w:lineRule="auto"/>
        <w:ind w:left="-142" w:firstLine="142"/>
        <w:jc w:val="both"/>
        <w:rPr>
          <w:rFonts w:ascii="Times New Roman" w:eastAsia="Times New Roman" w:hAnsi="Times New Roman"/>
          <w:sz w:val="20"/>
          <w:szCs w:val="20"/>
          <w:lang w:val="lv-LV"/>
        </w:rPr>
      </w:pPr>
      <w:r w:rsidRPr="0012377D">
        <w:rPr>
          <w:rFonts w:ascii="Times New Roman" w:eastAsia="Times New Roman" w:hAnsi="Times New Roman"/>
          <w:sz w:val="20"/>
          <w:szCs w:val="20"/>
          <w:lang w:val="lv-LV"/>
        </w:rPr>
        <w:t>Lēmums nosūtīts arī:</w:t>
      </w:r>
    </w:p>
    <w:p w:rsidR="00351A06" w:rsidRPr="0012377D" w:rsidP="00351A06" w14:paraId="47B4A257" w14:textId="77777777">
      <w:pPr>
        <w:numPr>
          <w:ilvl w:val="0"/>
          <w:numId w:val="15"/>
        </w:numPr>
        <w:spacing w:after="0" w:line="240" w:lineRule="auto"/>
        <w:ind w:left="714" w:hanging="357"/>
        <w:contextualSpacing/>
        <w:rPr>
          <w:rFonts w:ascii="Times New Roman" w:hAnsi="Times New Roman"/>
          <w:sz w:val="20"/>
          <w:szCs w:val="20"/>
          <w:lang w:val="lv-LV"/>
        </w:rPr>
      </w:pPr>
      <w:r w:rsidRPr="0012377D">
        <w:rPr>
          <w:rFonts w:ascii="Times New Roman" w:eastAsia="Times New Roman" w:hAnsi="Times New Roman"/>
          <w:sz w:val="20"/>
          <w:szCs w:val="20"/>
          <w:lang w:val="lv-LV"/>
        </w:rPr>
        <w:t xml:space="preserve">Ropažu novada pašvaldībai, </w:t>
      </w:r>
      <w:r w:rsidRPr="0012377D">
        <w:rPr>
          <w:rFonts w:ascii="Times New Roman" w:eastAsia="Times New Roman" w:hAnsi="Times New Roman"/>
          <w:i/>
          <w:iCs/>
          <w:sz w:val="20"/>
          <w:szCs w:val="20"/>
          <w:lang w:val="lv-LV"/>
        </w:rPr>
        <w:t>EAdresē.</w:t>
      </w:r>
    </w:p>
    <w:p w:rsidR="00351A06" w:rsidRPr="0012377D" w:rsidP="00351A06" w14:paraId="77C4B007" w14:textId="77777777">
      <w:pPr>
        <w:widowControl/>
        <w:numPr>
          <w:ilvl w:val="0"/>
          <w:numId w:val="15"/>
        </w:numPr>
        <w:spacing w:after="0" w:line="240" w:lineRule="auto"/>
        <w:ind w:left="714" w:hanging="357"/>
        <w:jc w:val="both"/>
        <w:rPr>
          <w:rFonts w:ascii="Times New Roman" w:hAnsi="Times New Roman"/>
          <w:sz w:val="20"/>
          <w:szCs w:val="20"/>
          <w:lang w:val="lv-LV"/>
        </w:rPr>
      </w:pPr>
      <w:r w:rsidRPr="0012377D">
        <w:rPr>
          <w:rFonts w:ascii="Times New Roman" w:eastAsia="Times New Roman" w:hAnsi="Times New Roman"/>
          <w:sz w:val="20"/>
          <w:szCs w:val="20"/>
          <w:lang w:val="lv-LV"/>
        </w:rPr>
        <w:t xml:space="preserve">Valsts vides dienesta Atļauju pārvaldei, </w:t>
      </w:r>
      <w:r w:rsidRPr="0012377D">
        <w:rPr>
          <w:rFonts w:ascii="Times New Roman" w:eastAsia="Times New Roman" w:hAnsi="Times New Roman"/>
          <w:i/>
          <w:iCs/>
          <w:sz w:val="20"/>
          <w:szCs w:val="20"/>
          <w:lang w:val="lv-LV"/>
        </w:rPr>
        <w:t>EAdresē.</w:t>
      </w:r>
    </w:p>
    <w:p w:rsidR="00351A06" w:rsidRPr="0012377D" w:rsidP="00351A06" w14:paraId="4FA2073C" w14:textId="77777777">
      <w:pPr>
        <w:widowControl/>
        <w:numPr>
          <w:ilvl w:val="0"/>
          <w:numId w:val="15"/>
        </w:numPr>
        <w:spacing w:after="0" w:line="240" w:lineRule="auto"/>
        <w:ind w:left="714" w:hanging="357"/>
        <w:jc w:val="both"/>
        <w:rPr>
          <w:rFonts w:ascii="Times New Roman" w:hAnsi="Times New Roman"/>
          <w:sz w:val="20"/>
          <w:szCs w:val="20"/>
          <w:lang w:val="lv-LV"/>
        </w:rPr>
      </w:pPr>
      <w:r w:rsidRPr="0012377D">
        <w:rPr>
          <w:rFonts w:ascii="Times New Roman" w:eastAsia="Times New Roman" w:hAnsi="Times New Roman"/>
          <w:sz w:val="20"/>
          <w:szCs w:val="20"/>
          <w:lang w:val="lv-LV"/>
        </w:rPr>
        <w:t>Dabas aizsardzības pārvaldei,</w:t>
      </w:r>
      <w:r w:rsidRPr="0012377D">
        <w:rPr>
          <w:rFonts w:ascii="Times New Roman" w:eastAsia="Times New Roman" w:hAnsi="Times New Roman"/>
          <w:i/>
          <w:iCs/>
          <w:sz w:val="20"/>
          <w:szCs w:val="20"/>
          <w:lang w:val="lv-LV"/>
        </w:rPr>
        <w:t xml:space="preserve"> EAdresē.</w:t>
      </w:r>
    </w:p>
    <w:p w:rsidR="00351A06" w:rsidRPr="0012377D" w:rsidP="00351A06" w14:paraId="15FC6B08" w14:textId="77777777">
      <w:pPr>
        <w:widowControl/>
        <w:spacing w:after="0" w:line="240" w:lineRule="auto"/>
        <w:ind w:left="-142" w:firstLine="142"/>
        <w:jc w:val="both"/>
        <w:rPr>
          <w:rFonts w:ascii="Times New Roman" w:eastAsia="Times New Roman" w:hAnsi="Times New Roman"/>
          <w:sz w:val="20"/>
          <w:szCs w:val="20"/>
          <w:lang w:val="lv-LV"/>
        </w:rPr>
      </w:pPr>
    </w:p>
    <w:p w:rsidR="00351A06" w:rsidRPr="0012377D" w:rsidP="00351A06" w14:paraId="0FA2CA68" w14:textId="77777777">
      <w:pPr>
        <w:widowControl/>
        <w:spacing w:after="0" w:line="240" w:lineRule="auto"/>
        <w:ind w:left="-142" w:firstLine="142"/>
        <w:jc w:val="both"/>
        <w:rPr>
          <w:rFonts w:ascii="Times New Roman" w:eastAsia="Times New Roman" w:hAnsi="Times New Roman"/>
          <w:sz w:val="20"/>
          <w:szCs w:val="20"/>
          <w:lang w:val="lv-LV"/>
        </w:rPr>
      </w:pPr>
    </w:p>
    <w:p w:rsidR="00351A06" w:rsidRPr="0012377D" w:rsidP="00351A06" w14:paraId="733BA99B" w14:textId="77777777">
      <w:pPr>
        <w:widowControl/>
        <w:spacing w:after="0" w:line="240" w:lineRule="auto"/>
        <w:ind w:left="-142" w:firstLine="142"/>
        <w:jc w:val="both"/>
        <w:rPr>
          <w:rFonts w:ascii="Times New Roman" w:eastAsia="Times New Roman" w:hAnsi="Times New Roman"/>
          <w:sz w:val="20"/>
          <w:szCs w:val="20"/>
          <w:lang w:val="lv-LV"/>
        </w:rPr>
      </w:pPr>
    </w:p>
    <w:p w:rsidR="00351A06" w:rsidRPr="0012377D" w:rsidP="00351A06" w14:paraId="52E6977E" w14:textId="77777777">
      <w:pPr>
        <w:widowControl/>
        <w:spacing w:after="0" w:line="240" w:lineRule="auto"/>
        <w:ind w:left="-142" w:firstLine="142"/>
        <w:jc w:val="both"/>
        <w:rPr>
          <w:rFonts w:ascii="Times New Roman" w:eastAsia="Times New Roman" w:hAnsi="Times New Roman"/>
          <w:sz w:val="20"/>
          <w:szCs w:val="20"/>
          <w:lang w:val="lv-LV"/>
        </w:rPr>
      </w:pPr>
      <w:r w:rsidRPr="0012377D">
        <w:rPr>
          <w:rFonts w:ascii="Times New Roman" w:eastAsia="Times New Roman" w:hAnsi="Times New Roman"/>
          <w:sz w:val="20"/>
          <w:szCs w:val="20"/>
          <w:lang w:val="lv-LV"/>
        </w:rPr>
        <w:t>Vineta Maskava, 67770807</w:t>
      </w:r>
    </w:p>
    <w:p w:rsidR="00351A06" w:rsidRPr="0012377D" w:rsidP="00351A06" w14:paraId="734EA419" w14:textId="77777777">
      <w:pPr>
        <w:widowControl/>
        <w:spacing w:after="0" w:line="240" w:lineRule="auto"/>
        <w:ind w:left="-142" w:firstLine="142"/>
        <w:jc w:val="both"/>
        <w:rPr>
          <w:rFonts w:ascii="Times New Roman" w:hAnsi="Times New Roman"/>
          <w:sz w:val="24"/>
          <w:szCs w:val="24"/>
          <w:lang w:val="lv-LV"/>
        </w:rPr>
      </w:pPr>
      <w:hyperlink r:id="rId7" w:history="1">
        <w:r w:rsidRPr="0012377D">
          <w:rPr>
            <w:rStyle w:val="Hyperlink"/>
            <w:rFonts w:ascii="Times New Roman" w:eastAsia="Times New Roman" w:hAnsi="Times New Roman"/>
            <w:color w:val="auto"/>
            <w:sz w:val="20"/>
            <w:szCs w:val="20"/>
            <w:u w:val="none"/>
            <w:lang w:val="lv-LV"/>
          </w:rPr>
          <w:t>vineta.maskava@vpvb.gov.lv</w:t>
        </w:r>
      </w:hyperlink>
    </w:p>
    <w:p w:rsidR="001B2EAC" w:rsidRPr="001B2EAC" w:rsidP="00351A06" w14:paraId="56CB4B2D" w14:textId="77777777">
      <w:pPr>
        <w:pStyle w:val="Header"/>
        <w:tabs>
          <w:tab w:val="clear" w:pos="4320"/>
          <w:tab w:val="clear" w:pos="8640"/>
        </w:tabs>
        <w:ind w:right="11"/>
        <w:jc w:val="right"/>
        <w:rPr>
          <w:rFonts w:ascii="Times New Roman" w:hAnsi="Times New Roman"/>
          <w:sz w:val="24"/>
          <w:szCs w:val="24"/>
          <w:lang w:val="lv-LV"/>
        </w:rPr>
      </w:pPr>
    </w:p>
    <w:sectPr w:rsidSect="00B117E2">
      <w:foot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74621872"/>
      <w:docPartObj>
        <w:docPartGallery w:val="Page Numbers (Bottom of Page)"/>
        <w:docPartUnique/>
      </w:docPartObj>
    </w:sdtPr>
    <w:sdtEndPr>
      <w:rPr>
        <w:rFonts w:ascii="Times New Roman" w:hAnsi="Times New Roman"/>
        <w:noProof/>
        <w:sz w:val="24"/>
        <w:szCs w:val="24"/>
      </w:rPr>
    </w:sdtEndPr>
    <w:sdtContent>
      <w:p w:rsidR="000A11BA" w:rsidRPr="00B55C78" w14:paraId="0046A070" w14:textId="0F4C39E0">
        <w:pPr>
          <w:pStyle w:val="Footer"/>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3A45E5">
          <w:rPr>
            <w:rFonts w:ascii="Times New Roman" w:hAnsi="Times New Roman"/>
            <w:noProof/>
            <w:sz w:val="24"/>
            <w:szCs w:val="24"/>
          </w:rPr>
          <w:t>4</w:t>
        </w:r>
        <w:r w:rsidRPr="00B55C78">
          <w:rPr>
            <w:rFonts w:ascii="Times New Roman" w:hAnsi="Times New Roman"/>
            <w:noProof/>
            <w:sz w:val="24"/>
            <w:szCs w:val="24"/>
          </w:rPr>
          <w:fldChar w:fldCharType="end"/>
        </w:r>
      </w:p>
    </w:sdtContent>
  </w:sdt>
  <w:p w:rsidR="000A11BA" w14:paraId="57A324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51A06" w14:paraId="3480F9F0" w14:textId="77777777">
      <w:pPr>
        <w:spacing w:after="0" w:line="240" w:lineRule="auto"/>
      </w:pPr>
      <w:r>
        <w:separator/>
      </w:r>
    </w:p>
  </w:footnote>
  <w:footnote w:type="continuationSeparator" w:id="1">
    <w:p w:rsidR="00351A06" w14:paraId="42E4C5AF" w14:textId="77777777">
      <w:pPr>
        <w:spacing w:after="0" w:line="240" w:lineRule="auto"/>
      </w:pPr>
      <w:r>
        <w:continuationSeparator/>
      </w:r>
    </w:p>
  </w:footnote>
  <w:footnote w:id="2">
    <w:p w:rsidR="00351A06" w:rsidRPr="00BE276E" w:rsidP="00351A06" w14:paraId="2AFA3F6E" w14:textId="77777777">
      <w:pPr>
        <w:pStyle w:val="FootnoteText"/>
        <w:rPr>
          <w:lang w:val="lv-LV"/>
        </w:rPr>
      </w:pPr>
      <w:r>
        <w:rPr>
          <w:rStyle w:val="FootnoteReference"/>
        </w:rPr>
        <w:footnoteRef/>
      </w:r>
      <w:r>
        <w:t xml:space="preserve"> </w:t>
      </w:r>
      <w:r w:rsidRPr="00BE276E">
        <w:rPr>
          <w:rFonts w:ascii="Times New Roman" w:hAnsi="Times New Roman"/>
          <w:lang w:val="lv-LV"/>
        </w:rPr>
        <w:t>Biroja reģ. Nr. </w:t>
      </w:r>
      <w:r w:rsidRPr="00DB3E29">
        <w:rPr>
          <w:rFonts w:ascii="Times New Roman" w:hAnsi="Times New Roman"/>
          <w:lang w:val="lv-LV"/>
        </w:rPr>
        <w:t>5-01/2</w:t>
      </w:r>
      <w:r>
        <w:rPr>
          <w:rFonts w:ascii="Times New Roman" w:hAnsi="Times New Roman"/>
          <w:lang w:val="lv-LV"/>
        </w:rPr>
        <w:t>743.</w:t>
      </w:r>
    </w:p>
  </w:footnote>
  <w:footnote w:id="3">
    <w:p w:rsidR="00351A06" w:rsidRPr="00BE276E" w:rsidP="00351A06" w14:paraId="5D602B9C" w14:textId="77777777">
      <w:pPr>
        <w:pStyle w:val="FootnoteText"/>
        <w:rPr>
          <w:lang w:val="lv-LV"/>
        </w:rPr>
      </w:pPr>
      <w:r>
        <w:rPr>
          <w:rStyle w:val="FootnoteReference"/>
        </w:rPr>
        <w:footnoteRef/>
      </w:r>
      <w:r>
        <w:t xml:space="preserve"> </w:t>
      </w:r>
      <w:r w:rsidRPr="00BE276E">
        <w:rPr>
          <w:rFonts w:ascii="Times New Roman" w:hAnsi="Times New Roman"/>
          <w:lang w:val="lv-LV"/>
        </w:rPr>
        <w:t>Biroja reģ. Nr. </w:t>
      </w:r>
      <w:r w:rsidRPr="00DB3E29">
        <w:rPr>
          <w:rFonts w:ascii="Times New Roman" w:hAnsi="Times New Roman"/>
          <w:lang w:val="lv-LV"/>
        </w:rPr>
        <w:t>5-01/2492</w:t>
      </w:r>
      <w:r>
        <w:rPr>
          <w:rFonts w:ascii="Times New Roman" w:hAnsi="Times New Roman"/>
          <w:lang w:val="lv-LV"/>
        </w:rPr>
        <w:t>.</w:t>
      </w:r>
    </w:p>
  </w:footnote>
  <w:footnote w:id="4">
    <w:p w:rsidR="00351A06" w:rsidRPr="002E4FB0" w:rsidP="00351A06" w14:paraId="4D75F8E8" w14:textId="77777777">
      <w:pPr>
        <w:pStyle w:val="FootnoteText"/>
        <w:rPr>
          <w:lang w:val="lv-LV"/>
        </w:rPr>
      </w:pPr>
      <w:r>
        <w:rPr>
          <w:rStyle w:val="FootnoteReference"/>
        </w:rPr>
        <w:footnoteRef/>
      </w:r>
      <w:r w:rsidRPr="00121742">
        <w:rPr>
          <w:lang w:val="lv-LV"/>
        </w:rPr>
        <w:t xml:space="preserve"> </w:t>
      </w:r>
      <w:r w:rsidRPr="002E4FB0">
        <w:rPr>
          <w:rFonts w:ascii="Times New Roman" w:hAnsi="Times New Roman"/>
          <w:lang w:val="lv-LV"/>
        </w:rPr>
        <w:t>Saskaņā 2023. gada 7. novembra Iesniegumā sniegto informāciju.</w:t>
      </w:r>
    </w:p>
  </w:footnote>
  <w:footnote w:id="5">
    <w:p w:rsidR="00351A06" w:rsidRPr="0091322B" w:rsidP="00351A06" w14:paraId="41DAB213" w14:textId="77777777">
      <w:pPr>
        <w:pStyle w:val="FootnoteText"/>
        <w:jc w:val="both"/>
        <w:rPr>
          <w:lang w:val="lv-LV"/>
        </w:rPr>
      </w:pPr>
      <w:r>
        <w:rPr>
          <w:rStyle w:val="FootnoteReference"/>
        </w:rPr>
        <w:footnoteRef/>
      </w:r>
      <w:r w:rsidRPr="00121742">
        <w:rPr>
          <w:lang w:val="lv-LV"/>
        </w:rPr>
        <w:t xml:space="preserve"> </w:t>
      </w:r>
      <w:r w:rsidRPr="0091322B">
        <w:rPr>
          <w:rFonts w:ascii="Times New Roman" w:eastAsia="Times New Roman" w:hAnsi="Times New Roman"/>
          <w:lang w:val="lv-LV" w:eastAsia="en-GB"/>
        </w:rPr>
        <w:t xml:space="preserve">Nekustamais īpašums </w:t>
      </w:r>
      <w:r w:rsidRPr="0091322B">
        <w:rPr>
          <w:rFonts w:ascii="Times New Roman" w:eastAsia="Times New Roman" w:hAnsi="Times New Roman"/>
          <w:i/>
          <w:iCs/>
          <w:lang w:val="lv-LV" w:eastAsia="en-GB"/>
        </w:rPr>
        <w:t xml:space="preserve">“Sināti” </w:t>
      </w:r>
      <w:r w:rsidRPr="0091322B">
        <w:rPr>
          <w:rFonts w:ascii="Times New Roman" w:eastAsia="Times New Roman" w:hAnsi="Times New Roman"/>
          <w:lang w:val="lv-LV" w:eastAsia="en-GB"/>
        </w:rPr>
        <w:t>(kadastra Nr.8084 017 0010, zemes vienības ar kadastra apzīmējumu 8084 017 0032)</w:t>
      </w:r>
      <w:r>
        <w:rPr>
          <w:rFonts w:ascii="Times New Roman" w:eastAsia="Times New Roman" w:hAnsi="Times New Roman"/>
          <w:lang w:val="lv-LV" w:eastAsia="en-GB"/>
        </w:rPr>
        <w:t>.</w:t>
      </w:r>
    </w:p>
  </w:footnote>
  <w:footnote w:id="6">
    <w:p w:rsidR="00351A06" w:rsidRPr="007A7498" w:rsidP="00351A06" w14:paraId="7DEE5BEA" w14:textId="77777777">
      <w:pPr>
        <w:pStyle w:val="FootnoteText"/>
        <w:jc w:val="both"/>
        <w:rPr>
          <w:lang w:val="lv-LV"/>
        </w:rPr>
      </w:pPr>
      <w:r>
        <w:rPr>
          <w:rStyle w:val="FootnoteReference"/>
        </w:rPr>
        <w:footnoteRef/>
      </w:r>
      <w:r w:rsidRPr="00121742">
        <w:rPr>
          <w:lang w:val="lv-LV"/>
        </w:rPr>
        <w:t xml:space="preserve"> </w:t>
      </w:r>
      <w:r w:rsidRPr="007A7498">
        <w:rPr>
          <w:rFonts w:ascii="Times New Roman" w:eastAsia="Times New Roman" w:hAnsi="Times New Roman"/>
          <w:lang w:val="lv-LV" w:eastAsia="en-GB"/>
        </w:rPr>
        <w:t>Sākotnējā sabiedriskā apspriešana atbilstoši Novērtējuma likuma 15. pantam un Noteikumu Nr.18 22. - 28. 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3094" w:rsidP="003B3094" w14:paraId="274CFB0F" w14:textId="77777777">
    <w:pPr>
      <w:pStyle w:val="Header"/>
      <w:rPr>
        <w:rFonts w:ascii="Times New Roman" w:hAnsi="Times New Roman"/>
      </w:rPr>
    </w:pPr>
  </w:p>
  <w:p w:rsidR="003B3094" w:rsidP="003B3094" w14:paraId="4F482D50" w14:textId="77777777">
    <w:pPr>
      <w:pStyle w:val="Header"/>
      <w:rPr>
        <w:rFonts w:ascii="Times New Roman" w:hAnsi="Times New Roman"/>
      </w:rPr>
    </w:pPr>
  </w:p>
  <w:p w:rsidR="003B3094" w:rsidP="003B3094" w14:paraId="1EFF3F1D" w14:textId="77777777">
    <w:pPr>
      <w:pStyle w:val="Header"/>
      <w:rPr>
        <w:rFonts w:ascii="Times New Roman" w:hAnsi="Times New Roman"/>
      </w:rPr>
    </w:pPr>
  </w:p>
  <w:p w:rsidR="003B3094" w:rsidP="003B3094" w14:paraId="41250856" w14:textId="77777777">
    <w:pPr>
      <w:pStyle w:val="Header"/>
      <w:rPr>
        <w:rFonts w:ascii="Times New Roman" w:hAnsi="Times New Roman"/>
      </w:rPr>
    </w:pPr>
  </w:p>
  <w:p w:rsidR="003B3094" w:rsidP="003B3094" w14:paraId="44BDAC0D" w14:textId="77777777">
    <w:pPr>
      <w:pStyle w:val="Header"/>
      <w:rPr>
        <w:rFonts w:ascii="Times New Roman" w:hAnsi="Times New Roman"/>
      </w:rPr>
    </w:pPr>
  </w:p>
  <w:p w:rsidR="003B3094" w:rsidP="003B3094" w14:paraId="3B7E3C46" w14:textId="77777777">
    <w:pPr>
      <w:pStyle w:val="Header"/>
      <w:rPr>
        <w:rFonts w:ascii="Times New Roman" w:hAnsi="Times New Roman"/>
      </w:rPr>
    </w:pPr>
  </w:p>
  <w:p w:rsidR="003B3094" w:rsidP="003B3094" w14:paraId="74DB2331" w14:textId="77777777">
    <w:pPr>
      <w:pStyle w:val="Header"/>
      <w:rPr>
        <w:rFonts w:ascii="Times New Roman" w:hAnsi="Times New Roman"/>
      </w:rPr>
    </w:pPr>
  </w:p>
  <w:p w:rsidR="003B3094" w:rsidP="003B3094" w14:paraId="15E1FFDF" w14:textId="77777777">
    <w:pPr>
      <w:pStyle w:val="Header"/>
      <w:rPr>
        <w:rFonts w:ascii="Times New Roman" w:hAnsi="Times New Roman"/>
      </w:rPr>
    </w:pPr>
  </w:p>
  <w:p w:rsidR="003B3094" w:rsidP="003B3094" w14:paraId="1A21C53D" w14:textId="77777777">
    <w:pPr>
      <w:pStyle w:val="Header"/>
      <w:rPr>
        <w:rFonts w:ascii="Times New Roman" w:hAnsi="Times New Roman"/>
      </w:rPr>
    </w:pPr>
  </w:p>
  <w:p w:rsidR="003B3094" w:rsidP="003B3094" w14:paraId="1C98639E" w14:textId="77777777">
    <w:pPr>
      <w:pStyle w:val="Header"/>
      <w:rPr>
        <w:rFonts w:ascii="Times New Roman" w:hAnsi="Times New Roman"/>
      </w:rPr>
    </w:pPr>
  </w:p>
  <w:p w:rsidR="003B3094" w:rsidRPr="00815277" w:rsidP="003B3094" w14:paraId="1D326F8E" w14:textId="398BC2BA">
    <w:pPr>
      <w:pStyle w:val="Header"/>
      <w:rPr>
        <w:rFonts w:ascii="Times New Roman" w:hAnsi="Times New Roman"/>
      </w:rPr>
    </w:pPr>
    <w:r>
      <w:rPr>
        <w:noProof/>
        <w:lang w:val="lv-LV"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3094" w:rsidP="003B309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 iela 23, Rīga, LV-1045</w:t>
                          </w:r>
                          <w:r w:rsidR="003A45E5">
                            <w:rPr>
                              <w:rFonts w:ascii="Times New Roman" w:eastAsia="Times New Roman" w:hAnsi="Times New Roman"/>
                              <w:color w:val="231F20"/>
                              <w:sz w:val="17"/>
                              <w:szCs w:val="17"/>
                            </w:rPr>
                            <w:t>, tālr.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3B3094" w:rsidP="003B3094" w14:paraId="189297AE"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Rūpniecības</w:t>
                    </w:r>
                    <w:r w:rsidRPr="0079265C">
                      <w:rPr>
                        <w:rFonts w:ascii="Times New Roman" w:eastAsia="Times New Roman" w:hAnsi="Times New Roman"/>
                        <w:color w:val="231F20"/>
                        <w:sz w:val="17"/>
                        <w:szCs w:val="17"/>
                      </w:rPr>
                      <w:t xml:space="preserve"> </w:t>
                    </w:r>
                    <w:r w:rsidRPr="0079265C">
                      <w:rPr>
                        <w:rFonts w:ascii="Times New Roman" w:eastAsia="Times New Roman" w:hAnsi="Times New Roman"/>
                        <w:color w:val="231F20"/>
                        <w:sz w:val="17"/>
                        <w:szCs w:val="17"/>
                      </w:rPr>
                      <w:t>iela</w:t>
                    </w:r>
                    <w:r w:rsidRPr="0079265C">
                      <w:rPr>
                        <w:rFonts w:ascii="Times New Roman" w:eastAsia="Times New Roman" w:hAnsi="Times New Roman"/>
                        <w:color w:val="231F20"/>
                        <w:sz w:val="17"/>
                        <w:szCs w:val="17"/>
                      </w:rPr>
                      <w:t xml:space="preserve"> 23, </w:t>
                    </w:r>
                    <w:r w:rsidRPr="0079265C">
                      <w:rPr>
                        <w:rFonts w:ascii="Times New Roman" w:eastAsia="Times New Roman" w:hAnsi="Times New Roman"/>
                        <w:color w:val="231F20"/>
                        <w:sz w:val="17"/>
                        <w:szCs w:val="17"/>
                      </w:rPr>
                      <w:t>Rīga</w:t>
                    </w:r>
                    <w:r w:rsidRPr="0079265C">
                      <w:rPr>
                        <w:rFonts w:ascii="Times New Roman" w:eastAsia="Times New Roman" w:hAnsi="Times New Roman"/>
                        <w:color w:val="231F20"/>
                        <w:sz w:val="17"/>
                        <w:szCs w:val="17"/>
                      </w:rPr>
                      <w:t>, LV-1045</w:t>
                    </w:r>
                    <w:r w:rsidR="003A45E5">
                      <w:rPr>
                        <w:rFonts w:ascii="Times New Roman" w:eastAsia="Times New Roman" w:hAnsi="Times New Roman"/>
                        <w:color w:val="231F20"/>
                        <w:sz w:val="17"/>
                        <w:szCs w:val="17"/>
                      </w:rPr>
                      <w:t xml:space="preserve">, </w:t>
                    </w:r>
                    <w:r w:rsidR="003A45E5">
                      <w:rPr>
                        <w:rFonts w:ascii="Times New Roman" w:eastAsia="Times New Roman" w:hAnsi="Times New Roman"/>
                        <w:color w:val="231F20"/>
                        <w:sz w:val="17"/>
                        <w:szCs w:val="17"/>
                      </w:rPr>
                      <w:t>tālr</w:t>
                    </w:r>
                    <w:r w:rsidR="003A45E5">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3B3094" w14:paraId="32EE552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nsid w:val="14BE73CF"/>
    <w:multiLevelType w:val="hybridMultilevel"/>
    <w:tmpl w:val="8E028F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2F712CF8"/>
    <w:multiLevelType w:val="multilevel"/>
    <w:tmpl w:val="06C2A518"/>
    <w:lvl w:ilvl="0">
      <w:start w:val="1"/>
      <w:numFmt w:val="decimal"/>
      <w:lvlText w:val="%1."/>
      <w:lvlJc w:val="left"/>
      <w:pPr>
        <w:ind w:left="360" w:hanging="360"/>
      </w:pPr>
      <w:rPr>
        <w:b w:val="0"/>
        <w:bCs w:val="0"/>
        <w:color w:val="auto"/>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345E95"/>
    <w:multiLevelType w:val="hybridMultilevel"/>
    <w:tmpl w:val="6C3C9AF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1B84297"/>
    <w:multiLevelType w:val="hybridMultilevel"/>
    <w:tmpl w:val="864E090A"/>
    <w:lvl w:ilvl="0">
      <w:start w:val="1"/>
      <w:numFmt w:val="decimal"/>
      <w:lvlText w:val="%1."/>
      <w:lvlJc w:val="left"/>
      <w:pPr>
        <w:ind w:left="108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1">
    <w:nsid w:val="51ED2673"/>
    <w:multiLevelType w:val="hybridMultilevel"/>
    <w:tmpl w:val="641E3A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1">
    <w:nsid w:val="6107051C"/>
    <w:multiLevelType w:val="hybridMultilevel"/>
    <w:tmpl w:val="A004569A"/>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82807486">
    <w:abstractNumId w:val="10"/>
  </w:num>
  <w:num w:numId="2" w16cid:durableId="2101943551">
    <w:abstractNumId w:val="8"/>
  </w:num>
  <w:num w:numId="3" w16cid:durableId="42802176">
    <w:abstractNumId w:val="7"/>
  </w:num>
  <w:num w:numId="4" w16cid:durableId="275062300">
    <w:abstractNumId w:val="6"/>
  </w:num>
  <w:num w:numId="5" w16cid:durableId="318194974">
    <w:abstractNumId w:val="5"/>
  </w:num>
  <w:num w:numId="6" w16cid:durableId="435176418">
    <w:abstractNumId w:val="9"/>
  </w:num>
  <w:num w:numId="7" w16cid:durableId="707921695">
    <w:abstractNumId w:val="4"/>
  </w:num>
  <w:num w:numId="8" w16cid:durableId="673454773">
    <w:abstractNumId w:val="3"/>
  </w:num>
  <w:num w:numId="9" w16cid:durableId="1516574267">
    <w:abstractNumId w:val="2"/>
  </w:num>
  <w:num w:numId="10" w16cid:durableId="116530882">
    <w:abstractNumId w:val="1"/>
  </w:num>
  <w:num w:numId="11" w16cid:durableId="1541550242">
    <w:abstractNumId w:val="0"/>
  </w:num>
  <w:num w:numId="12" w16cid:durableId="1158036906">
    <w:abstractNumId w:val="13"/>
  </w:num>
  <w:num w:numId="13" w16cid:durableId="5242911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8622604">
    <w:abstractNumId w:val="16"/>
  </w:num>
  <w:num w:numId="15" w16cid:durableId="1651446750">
    <w:abstractNumId w:val="15"/>
  </w:num>
  <w:num w:numId="16" w16cid:durableId="337579700">
    <w:abstractNumId w:val="12"/>
  </w:num>
  <w:num w:numId="17" w16cid:durableId="3767037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93075"/>
    <w:rsid w:val="000A11BA"/>
    <w:rsid w:val="00121742"/>
    <w:rsid w:val="0012377D"/>
    <w:rsid w:val="00124173"/>
    <w:rsid w:val="0015490B"/>
    <w:rsid w:val="001861E1"/>
    <w:rsid w:val="001B2EAC"/>
    <w:rsid w:val="0020556B"/>
    <w:rsid w:val="00223F4C"/>
    <w:rsid w:val="00225A1D"/>
    <w:rsid w:val="00271C85"/>
    <w:rsid w:val="00275B9E"/>
    <w:rsid w:val="002E1474"/>
    <w:rsid w:val="002E4FB0"/>
    <w:rsid w:val="00351A06"/>
    <w:rsid w:val="003A45E5"/>
    <w:rsid w:val="003B3094"/>
    <w:rsid w:val="004F26E0"/>
    <w:rsid w:val="00535564"/>
    <w:rsid w:val="005C6A06"/>
    <w:rsid w:val="005E672E"/>
    <w:rsid w:val="00663C3A"/>
    <w:rsid w:val="006A1FDF"/>
    <w:rsid w:val="006C1F4E"/>
    <w:rsid w:val="00752C7A"/>
    <w:rsid w:val="007811BA"/>
    <w:rsid w:val="0079265C"/>
    <w:rsid w:val="007A7498"/>
    <w:rsid w:val="007B3BA5"/>
    <w:rsid w:val="007E4D1F"/>
    <w:rsid w:val="007F77D9"/>
    <w:rsid w:val="00801867"/>
    <w:rsid w:val="0080657F"/>
    <w:rsid w:val="00815277"/>
    <w:rsid w:val="00842C4F"/>
    <w:rsid w:val="00876C21"/>
    <w:rsid w:val="0088296A"/>
    <w:rsid w:val="008C50FB"/>
    <w:rsid w:val="00902349"/>
    <w:rsid w:val="00910D6E"/>
    <w:rsid w:val="0091322B"/>
    <w:rsid w:val="00960C5E"/>
    <w:rsid w:val="0098179F"/>
    <w:rsid w:val="009B7306"/>
    <w:rsid w:val="009E1656"/>
    <w:rsid w:val="00A11397"/>
    <w:rsid w:val="00A330A9"/>
    <w:rsid w:val="00A814A9"/>
    <w:rsid w:val="00A95BEA"/>
    <w:rsid w:val="00B0767C"/>
    <w:rsid w:val="00B117E2"/>
    <w:rsid w:val="00B12C26"/>
    <w:rsid w:val="00B55C78"/>
    <w:rsid w:val="00B645B7"/>
    <w:rsid w:val="00BE276E"/>
    <w:rsid w:val="00BF0050"/>
    <w:rsid w:val="00BF1536"/>
    <w:rsid w:val="00C47F57"/>
    <w:rsid w:val="00C606CF"/>
    <w:rsid w:val="00C95806"/>
    <w:rsid w:val="00D21FA6"/>
    <w:rsid w:val="00D9195E"/>
    <w:rsid w:val="00D94D1A"/>
    <w:rsid w:val="00DB3E29"/>
    <w:rsid w:val="00DD0CF8"/>
    <w:rsid w:val="00E12C09"/>
    <w:rsid w:val="00E31AA8"/>
    <w:rsid w:val="00E365CE"/>
    <w:rsid w:val="00E415A2"/>
    <w:rsid w:val="00E7353C"/>
    <w:rsid w:val="00E81B96"/>
    <w:rsid w:val="00EE0E5E"/>
    <w:rsid w:val="00F146B6"/>
    <w:rsid w:val="00F94681"/>
  </w:rsids>
  <m:mathPr>
    <m:mathFont m:val="Cambria Math"/>
  </m:mathPr>
  <w:themeFontLang w:val="lv-LV" w:bidi="ar-SA"/>
  <w:clrSchemeMapping w:bg1="light1" w:t1="dark1" w:bg2="light2" w:t2="dark2" w:accent1="accent1" w:accent2="accent2" w:accent3="accent3" w:accent4="accent4" w:accent5="accent5" w:accent6="accent6" w:hyperlink="hyperlink" w:followedHyperlink="followedHyperlink"/>
  <w14:docId w14:val="0879836B"/>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FootnoteText">
    <w:name w:val="footnote text"/>
    <w:basedOn w:val="Normal"/>
    <w:link w:val="FootnoteTextChar"/>
    <w:uiPriority w:val="99"/>
    <w:unhideWhenUsed/>
    <w:rsid w:val="00351A06"/>
    <w:pPr>
      <w:spacing w:after="0" w:line="240" w:lineRule="auto"/>
    </w:pPr>
    <w:rPr>
      <w:sz w:val="20"/>
      <w:szCs w:val="20"/>
    </w:rPr>
  </w:style>
  <w:style w:type="character" w:customStyle="1" w:styleId="FootnoteTextChar">
    <w:name w:val="Footnote Text Char"/>
    <w:basedOn w:val="DefaultParagraphFont"/>
    <w:link w:val="FootnoteText"/>
    <w:uiPriority w:val="99"/>
    <w:rsid w:val="00351A06"/>
    <w:rPr>
      <w:lang w:val="en-US" w:eastAsia="en-US"/>
    </w:rPr>
  </w:style>
  <w:style w:type="character" w:styleId="FootnoteReference">
    <w:name w:val="footnote reference"/>
    <w:aliases w:val="Footnote Reference Number,Footnote Reference Superscript,Footnote symbol,fr"/>
    <w:basedOn w:val="DefaultParagraphFont"/>
    <w:uiPriority w:val="99"/>
    <w:unhideWhenUsed/>
    <w:rsid w:val="00351A06"/>
    <w:rPr>
      <w:vertAlign w:val="superscript"/>
    </w:rPr>
  </w:style>
  <w:style w:type="paragraph" w:styleId="NormalWeb">
    <w:name w:val="Normal (Web)"/>
    <w:basedOn w:val="Normal"/>
    <w:rsid w:val="00351A06"/>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ListParagraph">
    <w:name w:val="List Paragraph"/>
    <w:basedOn w:val="Normal"/>
    <w:uiPriority w:val="34"/>
    <w:qFormat/>
    <w:rsid w:val="00351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info@buvmeistars.lv" TargetMode="External" /><Relationship Id="rId7" Type="http://schemas.openxmlformats.org/officeDocument/2006/relationships/hyperlink" Target="mailto:vineta.maskava@vpvb.gov.lv" TargetMode="Externa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1542-FA87-41C2-8ACB-F5CC5D57E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7857</Words>
  <Characters>4480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Daiga Avdejanova</cp:lastModifiedBy>
  <cp:revision>9</cp:revision>
  <dcterms:created xsi:type="dcterms:W3CDTF">2021-07-29T07:54:00Z</dcterms:created>
  <dcterms:modified xsi:type="dcterms:W3CDTF">2023-11-27T13:02:00Z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